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白湖村河道县河段管理范围</w:t>
      </w: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p/>
    <w:p/>
    <w:p/>
    <w:p/>
    <w:p/>
    <w:p/>
    <w:p/>
    <w:p/>
    <w:p/>
    <w:p/>
    <w:p>
      <w:pPr>
        <w:ind w:firstLine="1600" w:firstLineChars="500"/>
        <w:rPr>
          <w:b/>
          <w:bCs/>
          <w:sz w:val="36"/>
          <w:szCs w:val="36"/>
        </w:rPr>
      </w:pPr>
      <w:r>
        <w:rPr>
          <w:rFonts w:hint="eastAsia"/>
          <w:sz w:val="32"/>
          <w:szCs w:val="32"/>
        </w:rPr>
        <w:t>湖南省地质矿产勘查开发局四0九队</w:t>
      </w:r>
    </w:p>
    <w:p>
      <w:pPr>
        <w:ind w:firstLine="1807" w:firstLineChars="500"/>
        <w:rPr>
          <w:b/>
          <w:bCs/>
          <w:sz w:val="36"/>
          <w:szCs w:val="36"/>
        </w:rPr>
      </w:pPr>
    </w:p>
    <w:p>
      <w:pPr>
        <w:jc w:val="center"/>
        <w:rPr>
          <w:rFonts w:hint="eastAsia"/>
          <w:sz w:val="32"/>
          <w:szCs w:val="32"/>
        </w:rPr>
      </w:pPr>
      <w:r>
        <w:rPr>
          <w:rFonts w:hint="eastAsia"/>
          <w:sz w:val="32"/>
          <w:szCs w:val="32"/>
        </w:rPr>
        <w:t>二〇一九年九月</w:t>
      </w: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lang w:val="zh-CN"/>
        </w:rPr>
      </w:pPr>
    </w:p>
    <w:p>
      <w:pPr>
        <w:jc w:val="center"/>
        <w:rPr>
          <w:lang w:val="zh-CN"/>
        </w:rPr>
      </w:pPr>
    </w:p>
    <w:p/>
    <w:p/>
    <w:p/>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白湖村河道县河段管理范围</w:t>
      </w: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r>
        <w:rPr>
          <w:rFonts w:hint="eastAsia" w:eastAsiaTheme="minorEastAsia"/>
          <w:sz w:val="32"/>
          <w:szCs w:val="32"/>
          <w:lang w:eastAsia="zh-CN"/>
        </w:rPr>
        <w:drawing>
          <wp:anchor distT="0" distB="0" distL="114935" distR="114935" simplePos="0" relativeHeight="251662336" behindDoc="1" locked="0" layoutInCell="1" allowOverlap="1">
            <wp:simplePos x="0" y="0"/>
            <wp:positionH relativeFrom="column">
              <wp:posOffset>1946910</wp:posOffset>
            </wp:positionH>
            <wp:positionV relativeFrom="paragraph">
              <wp:posOffset>1905</wp:posOffset>
            </wp:positionV>
            <wp:extent cx="974090" cy="767080"/>
            <wp:effectExtent l="0" t="0" r="16510" b="13970"/>
            <wp:wrapNone/>
            <wp:docPr id="7" name="图片 7" descr="廖红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廖红华"/>
                    <pic:cNvPicPr>
                      <a:picLocks noChangeAspect="1"/>
                    </pic:cNvPicPr>
                  </pic:nvPicPr>
                  <pic:blipFill>
                    <a:blip r:embed="rId6"/>
                    <a:stretch>
                      <a:fillRect/>
                    </a:stretch>
                  </pic:blipFill>
                  <pic:spPr>
                    <a:xfrm>
                      <a:off x="0" y="0"/>
                      <a:ext cx="974090" cy="767080"/>
                    </a:xfrm>
                    <a:prstGeom prst="rect">
                      <a:avLst/>
                    </a:prstGeom>
                  </pic:spPr>
                </pic:pic>
              </a:graphicData>
            </a:graphic>
          </wp:anchor>
        </w:drawing>
      </w:r>
    </w:p>
    <w:p/>
    <w:p/>
    <w:p/>
    <w:p>
      <w:r>
        <w:rPr>
          <w:rFonts w:hint="eastAsia" w:eastAsiaTheme="minorEastAsia"/>
          <w:sz w:val="32"/>
          <w:szCs w:val="32"/>
          <w:lang w:eastAsia="zh-CN"/>
        </w:rPr>
        <w:drawing>
          <wp:anchor distT="0" distB="0" distL="114935" distR="114935" simplePos="0" relativeHeight="251663360" behindDoc="1" locked="0" layoutInCell="1" allowOverlap="1">
            <wp:simplePos x="0" y="0"/>
            <wp:positionH relativeFrom="column">
              <wp:posOffset>4390390</wp:posOffset>
            </wp:positionH>
            <wp:positionV relativeFrom="paragraph">
              <wp:posOffset>144780</wp:posOffset>
            </wp:positionV>
            <wp:extent cx="1057910" cy="506730"/>
            <wp:effectExtent l="0" t="0" r="8890" b="7620"/>
            <wp:wrapNone/>
            <wp:docPr id="8" name="图片 8" descr="唐贵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唐贵荣"/>
                    <pic:cNvPicPr>
                      <a:picLocks noChangeAspect="1"/>
                    </pic:cNvPicPr>
                  </pic:nvPicPr>
                  <pic:blipFill>
                    <a:blip r:embed="rId7"/>
                    <a:stretch>
                      <a:fillRect/>
                    </a:stretch>
                  </pic:blipFill>
                  <pic:spPr>
                    <a:xfrm>
                      <a:off x="0" y="0"/>
                      <a:ext cx="1057910" cy="506730"/>
                    </a:xfrm>
                    <a:prstGeom prst="rect">
                      <a:avLst/>
                    </a:prstGeom>
                  </pic:spPr>
                </pic:pic>
              </a:graphicData>
            </a:graphic>
          </wp:anchor>
        </w:drawing>
      </w:r>
    </w:p>
    <w:p>
      <w:pPr>
        <w:rPr>
          <w:rFonts w:hint="eastAsia" w:eastAsiaTheme="minorEastAsia"/>
          <w:sz w:val="32"/>
          <w:szCs w:val="32"/>
          <w:lang w:eastAsia="zh-CN"/>
        </w:rPr>
      </w:pPr>
      <w:r>
        <w:rPr>
          <w:rFonts w:hint="eastAsia"/>
          <w:sz w:val="32"/>
          <w:szCs w:val="32"/>
        </w:rPr>
        <w:t>审批单位：道县人民政府</w:t>
      </w:r>
    </w:p>
    <w:p>
      <w:pPr>
        <w:rPr>
          <w:rFonts w:hint="eastAsia" w:eastAsiaTheme="minorEastAsia"/>
          <w:sz w:val="32"/>
          <w:szCs w:val="32"/>
          <w:lang w:eastAsia="zh-CN"/>
        </w:rPr>
      </w:pPr>
      <w:r>
        <w:rPr>
          <w:rFonts w:hint="eastAsia" w:eastAsiaTheme="minorEastAsia"/>
          <w:sz w:val="32"/>
          <w:szCs w:val="32"/>
          <w:lang w:eastAsia="zh-CN"/>
        </w:rPr>
        <w:drawing>
          <wp:anchor distT="0" distB="0" distL="114935" distR="114935" simplePos="0" relativeHeight="251664384" behindDoc="1" locked="0" layoutInCell="1" allowOverlap="1">
            <wp:simplePos x="0" y="0"/>
            <wp:positionH relativeFrom="column">
              <wp:posOffset>4267200</wp:posOffset>
            </wp:positionH>
            <wp:positionV relativeFrom="paragraph">
              <wp:posOffset>342900</wp:posOffset>
            </wp:positionV>
            <wp:extent cx="660400" cy="484505"/>
            <wp:effectExtent l="0" t="0" r="6350" b="10795"/>
            <wp:wrapNone/>
            <wp:docPr id="9" name="图片 9" descr="杨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杨武"/>
                    <pic:cNvPicPr>
                      <a:picLocks noChangeAspect="1"/>
                    </pic:cNvPicPr>
                  </pic:nvPicPr>
                  <pic:blipFill>
                    <a:blip r:embed="rId8"/>
                    <a:stretch>
                      <a:fillRect/>
                    </a:stretch>
                  </pic:blipFill>
                  <pic:spPr>
                    <a:xfrm>
                      <a:off x="0" y="0"/>
                      <a:ext cx="660400" cy="484505"/>
                    </a:xfrm>
                    <a:prstGeom prst="rect">
                      <a:avLst/>
                    </a:prstGeom>
                  </pic:spPr>
                </pic:pic>
              </a:graphicData>
            </a:graphic>
          </wp:anchor>
        </w:drawing>
      </w:r>
      <w:r>
        <w:rPr>
          <w:rFonts w:hint="eastAsia"/>
          <w:sz w:val="32"/>
          <w:szCs w:val="32"/>
        </w:rPr>
        <w:t>审核单位：永州市水利局  永州市自然资源和规划局</w:t>
      </w:r>
    </w:p>
    <w:p>
      <w:pPr>
        <w:rPr>
          <w:rFonts w:hint="eastAsia" w:eastAsiaTheme="minorEastAsia"/>
          <w:sz w:val="32"/>
          <w:szCs w:val="32"/>
          <w:lang w:eastAsia="zh-CN"/>
        </w:rPr>
      </w:pPr>
      <w:r>
        <w:rPr>
          <w:rFonts w:hint="eastAsia"/>
          <w:sz w:val="32"/>
          <w:szCs w:val="32"/>
        </w:rPr>
        <w:t>编制单位：道县水利局    道县自然资源局</w:t>
      </w:r>
    </w:p>
    <w:p>
      <w:pPr>
        <w:ind w:firstLine="1600" w:firstLineChars="500"/>
        <w:rPr>
          <w:b/>
          <w:bCs/>
          <w:sz w:val="36"/>
          <w:szCs w:val="36"/>
        </w:rPr>
      </w:pPr>
      <w:r>
        <w:rPr>
          <w:rFonts w:hint="eastAsia" w:eastAsiaTheme="minorEastAsia"/>
          <w:sz w:val="32"/>
          <w:szCs w:val="32"/>
          <w:lang w:eastAsia="zh-CN"/>
        </w:rPr>
        <w:drawing>
          <wp:anchor distT="0" distB="0" distL="114935" distR="114935" simplePos="0" relativeHeight="251659264" behindDoc="1" locked="0" layoutInCell="1" allowOverlap="1">
            <wp:simplePos x="0" y="0"/>
            <wp:positionH relativeFrom="column">
              <wp:posOffset>3475355</wp:posOffset>
            </wp:positionH>
            <wp:positionV relativeFrom="paragraph">
              <wp:posOffset>348615</wp:posOffset>
            </wp:positionV>
            <wp:extent cx="704215" cy="544195"/>
            <wp:effectExtent l="0" t="0" r="635" b="8255"/>
            <wp:wrapNone/>
            <wp:docPr id="1" name="图片 1" descr="陈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陈静"/>
                    <pic:cNvPicPr>
                      <a:picLocks noChangeAspect="1"/>
                    </pic:cNvPicPr>
                  </pic:nvPicPr>
                  <pic:blipFill>
                    <a:blip r:embed="rId9"/>
                    <a:stretch>
                      <a:fillRect/>
                    </a:stretch>
                  </pic:blipFill>
                  <pic:spPr>
                    <a:xfrm>
                      <a:off x="0" y="0"/>
                      <a:ext cx="704215" cy="544195"/>
                    </a:xfrm>
                    <a:prstGeom prst="rect">
                      <a:avLst/>
                    </a:prstGeom>
                  </pic:spPr>
                </pic:pic>
              </a:graphicData>
            </a:graphic>
          </wp:anchor>
        </w:drawing>
      </w:r>
      <w:r>
        <w:rPr>
          <w:rFonts w:hint="eastAsia"/>
          <w:sz w:val="32"/>
          <w:szCs w:val="32"/>
        </w:rPr>
        <w:t>湖南省地质矿产勘查开发局四0九队</w:t>
      </w:r>
    </w:p>
    <w:p>
      <w:pPr>
        <w:ind w:firstLine="1807" w:firstLineChars="500"/>
        <w:rPr>
          <w:rFonts w:hint="eastAsia" w:eastAsiaTheme="minorEastAsia"/>
          <w:b/>
          <w:bCs/>
          <w:sz w:val="36"/>
          <w:szCs w:val="36"/>
          <w:lang w:eastAsia="zh-CN"/>
        </w:rPr>
      </w:pPr>
      <w:r>
        <w:rPr>
          <w:rFonts w:hint="eastAsia" w:eastAsiaTheme="minorEastAsia"/>
          <w:b/>
          <w:bCs/>
          <w:sz w:val="36"/>
          <w:szCs w:val="36"/>
          <w:lang w:eastAsia="zh-CN"/>
        </w:rPr>
        <w:drawing>
          <wp:anchor distT="0" distB="0" distL="114935" distR="114935" simplePos="0" relativeHeight="251660288" behindDoc="1" locked="0" layoutInCell="1" allowOverlap="1">
            <wp:simplePos x="0" y="0"/>
            <wp:positionH relativeFrom="column">
              <wp:posOffset>1143000</wp:posOffset>
            </wp:positionH>
            <wp:positionV relativeFrom="paragraph">
              <wp:posOffset>22225</wp:posOffset>
            </wp:positionV>
            <wp:extent cx="720725" cy="507365"/>
            <wp:effectExtent l="0" t="0" r="3175" b="6985"/>
            <wp:wrapNone/>
            <wp:docPr id="3" name="图片 3" descr="韩少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韩少武1"/>
                    <pic:cNvPicPr>
                      <a:picLocks noChangeAspect="1"/>
                    </pic:cNvPicPr>
                  </pic:nvPicPr>
                  <pic:blipFill>
                    <a:blip r:embed="rId10"/>
                    <a:stretch>
                      <a:fillRect/>
                    </a:stretch>
                  </pic:blipFill>
                  <pic:spPr>
                    <a:xfrm>
                      <a:off x="0" y="0"/>
                      <a:ext cx="720725" cy="507365"/>
                    </a:xfrm>
                    <a:prstGeom prst="rect">
                      <a:avLst/>
                    </a:prstGeom>
                  </pic:spPr>
                </pic:pic>
              </a:graphicData>
            </a:graphic>
          </wp:anchor>
        </w:drawing>
      </w:r>
      <w:r>
        <w:rPr>
          <w:rFonts w:hint="eastAsia" w:eastAsiaTheme="minorEastAsia"/>
          <w:sz w:val="32"/>
          <w:szCs w:val="32"/>
          <w:lang w:eastAsia="zh-CN"/>
        </w:rPr>
        <w:drawing>
          <wp:anchor distT="0" distB="0" distL="114935" distR="114935" simplePos="0" relativeHeight="251661312" behindDoc="1" locked="0" layoutInCell="1" allowOverlap="1">
            <wp:simplePos x="0" y="0"/>
            <wp:positionH relativeFrom="column">
              <wp:posOffset>4137660</wp:posOffset>
            </wp:positionH>
            <wp:positionV relativeFrom="paragraph">
              <wp:posOffset>83820</wp:posOffset>
            </wp:positionV>
            <wp:extent cx="1398905" cy="585470"/>
            <wp:effectExtent l="0" t="0" r="10795" b="5080"/>
            <wp:wrapNone/>
            <wp:docPr id="4" name="图片 4" descr="雷端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雷端生"/>
                    <pic:cNvPicPr>
                      <a:picLocks noChangeAspect="1"/>
                    </pic:cNvPicPr>
                  </pic:nvPicPr>
                  <pic:blipFill>
                    <a:blip r:embed="rId11"/>
                    <a:stretch>
                      <a:fillRect/>
                    </a:stretch>
                  </pic:blipFill>
                  <pic:spPr>
                    <a:xfrm>
                      <a:off x="0" y="0"/>
                      <a:ext cx="1398905" cy="585470"/>
                    </a:xfrm>
                    <a:prstGeom prst="rect">
                      <a:avLst/>
                    </a:prstGeom>
                  </pic:spPr>
                </pic:pic>
              </a:graphicData>
            </a:graphic>
          </wp:anchor>
        </w:drawing>
      </w:r>
    </w:p>
    <w:p>
      <w:pPr>
        <w:jc w:val="center"/>
        <w:rPr>
          <w:lang w:val="zh-CN"/>
        </w:rPr>
      </w:pPr>
      <w:r>
        <w:rPr>
          <w:rFonts w:hint="eastAsia"/>
          <w:sz w:val="32"/>
          <w:szCs w:val="32"/>
        </w:rPr>
        <w:t>二〇一九年九月</w:t>
      </w: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p>
      <w:pPr>
        <w:jc w:val="center"/>
        <w:rPr>
          <w:lang w:val="zh-CN"/>
        </w:rPr>
      </w:pPr>
    </w:p>
    <w:sdt>
      <w:sdtPr>
        <w:rPr>
          <w:sz w:val="32"/>
          <w:szCs w:val="32"/>
          <w:lang w:val="zh-CN"/>
        </w:rPr>
        <w:id w:val="1179163390"/>
        <w:docPartObj>
          <w:docPartGallery w:val="Table of Contents"/>
          <w:docPartUnique/>
        </w:docPartObj>
      </w:sdtPr>
      <w:sdtEndPr>
        <w:rPr>
          <w:sz w:val="44"/>
          <w:szCs w:val="44"/>
          <w:lang w:val="zh-CN"/>
        </w:rPr>
      </w:sdtEndPr>
      <w:sdtContent>
        <w:p>
          <w:pPr>
            <w:jc w:val="center"/>
            <w:rPr>
              <w:rFonts w:asciiTheme="minorEastAsia" w:hAnsiTheme="minorEastAsia" w:cstheme="minorEastAsia"/>
              <w:sz w:val="28"/>
              <w:szCs w:val="28"/>
            </w:rPr>
          </w:pPr>
          <w:r>
            <w:rPr>
              <w:rFonts w:hint="eastAsia" w:asciiTheme="minorEastAsia" w:hAnsiTheme="minorEastAsia" w:cstheme="minorEastAsia"/>
              <w:sz w:val="32"/>
              <w:szCs w:val="32"/>
            </w:rPr>
            <w:t>目  录</w:t>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TOC \o "1-3" \h \z \u </w:instrText>
          </w:r>
          <w:r>
            <w:rPr>
              <w:rFonts w:hint="eastAsia" w:asciiTheme="minorEastAsia" w:hAnsiTheme="minorEastAsia" w:cstheme="minorEastAsia"/>
              <w:sz w:val="28"/>
              <w:szCs w:val="28"/>
            </w:rPr>
            <w:fldChar w:fldCharType="separate"/>
          </w:r>
          <w:r>
            <w:fldChar w:fldCharType="begin"/>
          </w:r>
          <w:r>
            <w:instrText xml:space="preserve"> HYPERLINK \l "_Toc11486" </w:instrText>
          </w:r>
          <w:r>
            <w:fldChar w:fldCharType="separate"/>
          </w:r>
          <w:r>
            <w:rPr>
              <w:rFonts w:hint="eastAsia" w:asciiTheme="minorEastAsia" w:hAnsiTheme="minorEastAsia" w:cstheme="minorEastAsia"/>
              <w:sz w:val="28"/>
              <w:szCs w:val="28"/>
            </w:rPr>
            <w:t>1 划界工作背景</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_Toc11486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"_Toc21165" </w:instrText>
          </w:r>
          <w:r>
            <w:fldChar w:fldCharType="separate"/>
          </w:r>
          <w:r>
            <w:rPr>
              <w:rFonts w:hint="eastAsia" w:asciiTheme="minorEastAsia" w:hAnsiTheme="minorEastAsia" w:cstheme="minorEastAsia"/>
              <w:sz w:val="28"/>
              <w:szCs w:val="28"/>
            </w:rPr>
            <w:t>2 河段基本情况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_Toc21165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"_Toc15049" </w:instrText>
          </w:r>
          <w:r>
            <w:fldChar w:fldCharType="separate"/>
          </w:r>
          <w:r>
            <w:rPr>
              <w:rFonts w:hint="eastAsia" w:asciiTheme="minorEastAsia" w:hAnsiTheme="minorEastAsia" w:cstheme="minorEastAsia"/>
              <w:sz w:val="28"/>
              <w:szCs w:val="28"/>
            </w:rPr>
            <w:t>2.1 河段洪水位情况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_Toc15049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"_Toc24976" </w:instrText>
          </w:r>
          <w:r>
            <w:fldChar w:fldCharType="separate"/>
          </w:r>
          <w:r>
            <w:rPr>
              <w:rFonts w:hint="eastAsia" w:asciiTheme="minorEastAsia" w:hAnsiTheme="minorEastAsia" w:cstheme="minorEastAsia"/>
              <w:sz w:val="28"/>
              <w:szCs w:val="28"/>
            </w:rPr>
            <w:t>2.2 河段岸线情况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_Toc24976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"_Toc19674" </w:instrText>
          </w:r>
          <w:r>
            <w:fldChar w:fldCharType="separate"/>
          </w:r>
          <w:r>
            <w:rPr>
              <w:rFonts w:hint="eastAsia" w:asciiTheme="minorEastAsia" w:hAnsiTheme="minorEastAsia" w:cstheme="minorEastAsia"/>
              <w:sz w:val="28"/>
              <w:szCs w:val="28"/>
            </w:rPr>
            <w:t>2.3 涉河建设项目情况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_Toc19674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"_Toc13642" </w:instrText>
          </w:r>
          <w:r>
            <w:fldChar w:fldCharType="separate"/>
          </w:r>
          <w:r>
            <w:rPr>
              <w:rFonts w:hint="eastAsia" w:asciiTheme="minorEastAsia" w:hAnsiTheme="minorEastAsia" w:cstheme="minorEastAsia"/>
              <w:sz w:val="28"/>
              <w:szCs w:val="28"/>
            </w:rPr>
            <w:t>2.4 土地权属情况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_Toc13642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"_Toc24959" </w:instrText>
          </w:r>
          <w:r>
            <w:fldChar w:fldCharType="separate"/>
          </w:r>
          <w:r>
            <w:rPr>
              <w:rFonts w:hint="eastAsia" w:asciiTheme="minorEastAsia" w:hAnsiTheme="minorEastAsia" w:cstheme="minorEastAsia"/>
              <w:sz w:val="28"/>
              <w:szCs w:val="28"/>
            </w:rPr>
            <w:t>2.5 历史划界情况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_Toc24959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"_Toc16129" </w:instrText>
          </w:r>
          <w:r>
            <w:fldChar w:fldCharType="separate"/>
          </w:r>
          <w:r>
            <w:rPr>
              <w:rFonts w:hint="eastAsia" w:asciiTheme="minorEastAsia" w:hAnsiTheme="minorEastAsia" w:cstheme="minorEastAsia"/>
              <w:sz w:val="28"/>
              <w:szCs w:val="28"/>
            </w:rPr>
            <w:t>3 工作原则及依据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_Toc16129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"_Toc2057" </w:instrText>
          </w:r>
          <w:r>
            <w:fldChar w:fldCharType="separate"/>
          </w:r>
          <w:r>
            <w:rPr>
              <w:rFonts w:hint="eastAsia" w:asciiTheme="minorEastAsia" w:hAnsiTheme="minorEastAsia" w:cstheme="minorEastAsia"/>
              <w:sz w:val="28"/>
              <w:szCs w:val="28"/>
            </w:rPr>
            <w:t>3.1 工作原则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_Toc2057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"_Toc12412" </w:instrText>
          </w:r>
          <w:r>
            <w:fldChar w:fldCharType="separate"/>
          </w:r>
          <w:r>
            <w:rPr>
              <w:rFonts w:hint="eastAsia" w:asciiTheme="minorEastAsia" w:hAnsiTheme="minorEastAsia" w:cstheme="minorEastAsia"/>
              <w:sz w:val="28"/>
              <w:szCs w:val="28"/>
            </w:rPr>
            <w:t>3.2 工作依据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_Toc12412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"_Toc29680" </w:instrText>
          </w:r>
          <w:r>
            <w:fldChar w:fldCharType="separate"/>
          </w:r>
          <w:r>
            <w:rPr>
              <w:rFonts w:hint="eastAsia" w:asciiTheme="minorEastAsia" w:hAnsiTheme="minorEastAsia" w:cstheme="minorEastAsia"/>
              <w:sz w:val="28"/>
              <w:szCs w:val="28"/>
            </w:rPr>
            <w:t>3.2.1法律法规</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_Toc29680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"_Toc23769" </w:instrText>
          </w:r>
          <w:r>
            <w:fldChar w:fldCharType="separate"/>
          </w:r>
          <w:r>
            <w:rPr>
              <w:rFonts w:hint="eastAsia" w:asciiTheme="minorEastAsia" w:hAnsiTheme="minorEastAsia" w:cstheme="minorEastAsia"/>
              <w:sz w:val="28"/>
              <w:szCs w:val="28"/>
            </w:rPr>
            <w:t>3.2.2政策性文件</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_Toc23769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"_Toc2882" </w:instrText>
          </w:r>
          <w:r>
            <w:fldChar w:fldCharType="separate"/>
          </w:r>
          <w:r>
            <w:rPr>
              <w:rFonts w:hint="eastAsia" w:asciiTheme="minorEastAsia" w:hAnsiTheme="minorEastAsia" w:cstheme="minorEastAsia"/>
              <w:sz w:val="28"/>
              <w:szCs w:val="28"/>
            </w:rPr>
            <w:t>3.2.3技术标准规范</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_Toc2882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"_Toc31691" </w:instrText>
          </w:r>
          <w:r>
            <w:fldChar w:fldCharType="separate"/>
          </w:r>
          <w:r>
            <w:rPr>
              <w:rFonts w:hint="eastAsia" w:asciiTheme="minorEastAsia" w:hAnsiTheme="minorEastAsia" w:cstheme="minorEastAsia"/>
              <w:sz w:val="28"/>
              <w:szCs w:val="28"/>
            </w:rPr>
            <w:t>4 组织实施情况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_Toc31691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"_Toc20821" </w:instrText>
          </w:r>
          <w:r>
            <w:fldChar w:fldCharType="separate"/>
          </w:r>
          <w:r>
            <w:rPr>
              <w:rFonts w:hint="eastAsia" w:asciiTheme="minorEastAsia" w:hAnsiTheme="minorEastAsia" w:cstheme="minorEastAsia"/>
              <w:sz w:val="28"/>
              <w:szCs w:val="28"/>
            </w:rPr>
            <w:t>4.1 已有资料收集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_Toc20821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"_Toc19449" </w:instrText>
          </w:r>
          <w:r>
            <w:fldChar w:fldCharType="separate"/>
          </w:r>
          <w:r>
            <w:rPr>
              <w:rFonts w:hint="eastAsia" w:asciiTheme="minorEastAsia" w:hAnsiTheme="minorEastAsia" w:cstheme="minorEastAsia"/>
              <w:sz w:val="28"/>
              <w:szCs w:val="28"/>
            </w:rPr>
            <w:t>4.2 工作底图制作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_Toc19449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"_Toc22580" </w:instrText>
          </w:r>
          <w:r>
            <w:fldChar w:fldCharType="separate"/>
          </w:r>
          <w:r>
            <w:rPr>
              <w:rFonts w:hint="eastAsia" w:asciiTheme="minorEastAsia" w:hAnsiTheme="minorEastAsia" w:cstheme="minorEastAsia"/>
              <w:sz w:val="28"/>
              <w:szCs w:val="28"/>
            </w:rPr>
            <w:t>4.2.1 已有资料预处理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_Toc22580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"_Toc13629" </w:instrText>
          </w:r>
          <w:r>
            <w:fldChar w:fldCharType="separate"/>
          </w:r>
          <w:r>
            <w:rPr>
              <w:rFonts w:hint="eastAsia" w:asciiTheme="minorEastAsia" w:hAnsiTheme="minorEastAsia" w:cstheme="minorEastAsia"/>
              <w:sz w:val="28"/>
              <w:szCs w:val="28"/>
            </w:rPr>
            <w:t>4.2.2 河湖划界参考要素补充采集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_Toc13629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"_Toc30312" </w:instrText>
          </w:r>
          <w:r>
            <w:fldChar w:fldCharType="separate"/>
          </w:r>
          <w:r>
            <w:rPr>
              <w:rFonts w:hint="eastAsia" w:asciiTheme="minorEastAsia" w:hAnsiTheme="minorEastAsia" w:cstheme="minorEastAsia"/>
              <w:sz w:val="28"/>
              <w:szCs w:val="28"/>
            </w:rPr>
            <w:t>4.2.3 地形图补充测量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_Toc30312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"_Toc20933" </w:instrText>
          </w:r>
          <w:r>
            <w:fldChar w:fldCharType="separate"/>
          </w:r>
          <w:r>
            <w:rPr>
              <w:rFonts w:hint="eastAsia" w:asciiTheme="minorEastAsia" w:hAnsiTheme="minorEastAsia" w:cstheme="minorEastAsia"/>
              <w:sz w:val="28"/>
              <w:szCs w:val="28"/>
            </w:rPr>
            <w:t>4.2.4 数据整合</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_Toc20933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"_Toc11269" </w:instrText>
          </w:r>
          <w:r>
            <w:fldChar w:fldCharType="separate"/>
          </w:r>
          <w:r>
            <w:rPr>
              <w:rFonts w:hint="eastAsia" w:asciiTheme="minorEastAsia" w:hAnsiTheme="minorEastAsia" w:cstheme="minorEastAsia"/>
              <w:sz w:val="28"/>
              <w:szCs w:val="28"/>
            </w:rPr>
            <w:t>4.3 管理范围室内初步划定</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_Toc11269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"_Toc15726" </w:instrText>
          </w:r>
          <w:r>
            <w:fldChar w:fldCharType="separate"/>
          </w:r>
          <w:r>
            <w:rPr>
              <w:rFonts w:hint="eastAsia" w:asciiTheme="minorEastAsia" w:hAnsiTheme="minorEastAsia" w:cstheme="minorEastAsia"/>
              <w:sz w:val="28"/>
              <w:szCs w:val="28"/>
            </w:rPr>
            <w:t>4.3.1 洪水位分析</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_Toc15726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"_Toc14629" </w:instrText>
          </w:r>
          <w:r>
            <w:fldChar w:fldCharType="separate"/>
          </w:r>
          <w:r>
            <w:rPr>
              <w:rFonts w:hint="eastAsia" w:asciiTheme="minorEastAsia" w:hAnsiTheme="minorEastAsia" w:cstheme="minorEastAsia"/>
              <w:sz w:val="28"/>
              <w:szCs w:val="28"/>
            </w:rPr>
            <w:t>4.3.1.1 设计洪水标准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_Toc14629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"_Toc17621" </w:instrText>
          </w:r>
          <w:r>
            <w:fldChar w:fldCharType="separate"/>
          </w:r>
          <w:r>
            <w:rPr>
              <w:rFonts w:hint="eastAsia" w:asciiTheme="minorEastAsia" w:hAnsiTheme="minorEastAsia" w:cstheme="minorEastAsia"/>
              <w:sz w:val="28"/>
              <w:szCs w:val="28"/>
            </w:rPr>
            <w:t>4.3.1.2 水文基本资料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_Toc17621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"_Toc14649" </w:instrText>
          </w:r>
          <w:r>
            <w:fldChar w:fldCharType="separate"/>
          </w:r>
          <w:r>
            <w:rPr>
              <w:rFonts w:hint="eastAsia" w:asciiTheme="minorEastAsia" w:hAnsiTheme="minorEastAsia" w:cstheme="minorEastAsia"/>
              <w:sz w:val="28"/>
              <w:szCs w:val="28"/>
            </w:rPr>
            <w:t>4.3.1.3 断面资料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_Toc14649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"_Toc6627" </w:instrText>
          </w:r>
          <w:r>
            <w:fldChar w:fldCharType="separate"/>
          </w:r>
          <w:r>
            <w:rPr>
              <w:rFonts w:hint="eastAsia" w:asciiTheme="minorEastAsia" w:hAnsiTheme="minorEastAsia" w:cstheme="minorEastAsia"/>
              <w:sz w:val="28"/>
              <w:szCs w:val="28"/>
            </w:rPr>
            <w:t>4.3.1.4 设计洪水计算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_Toc6627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"_Toc29138" </w:instrText>
          </w:r>
          <w:r>
            <w:fldChar w:fldCharType="separate"/>
          </w:r>
          <w:r>
            <w:rPr>
              <w:rFonts w:hint="eastAsia" w:asciiTheme="minorEastAsia" w:hAnsiTheme="minorEastAsia" w:cstheme="minorEastAsia"/>
              <w:sz w:val="28"/>
              <w:szCs w:val="28"/>
            </w:rPr>
            <w:t>4.3.1.4.1设计暴雨计算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_Toc29138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"_Toc8685" </w:instrText>
          </w:r>
          <w:r>
            <w:fldChar w:fldCharType="separate"/>
          </w:r>
          <w:r>
            <w:rPr>
              <w:rFonts w:hint="eastAsia" w:asciiTheme="minorEastAsia" w:hAnsiTheme="minorEastAsia" w:cstheme="minorEastAsia"/>
              <w:sz w:val="28"/>
              <w:szCs w:val="28"/>
            </w:rPr>
            <w:t>4.3.1.4.2设计净雨计算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_Toc8685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ind w:left="0" w:leftChars="0" w:firstLine="630" w:firstLineChars="300"/>
            <w:textAlignment w:val="auto"/>
            <w:rPr>
              <w:rFonts w:asciiTheme="minorEastAsia" w:hAnsiTheme="minorEastAsia" w:cstheme="minorEastAsia"/>
              <w:sz w:val="28"/>
              <w:szCs w:val="28"/>
            </w:rPr>
          </w:pPr>
          <w:r>
            <w:rPr>
              <w:rFonts w:hint="eastAsia"/>
            </w:rPr>
            <w:t xml:space="preserve">  </w:t>
          </w:r>
          <w:r>
            <w:fldChar w:fldCharType="begin"/>
          </w:r>
          <w:r>
            <w:instrText xml:space="preserve"> HYPERLINK \l "_Toc14550" </w:instrText>
          </w:r>
          <w:r>
            <w:fldChar w:fldCharType="separate"/>
          </w:r>
          <w:r>
            <w:rPr>
              <w:rFonts w:hint="eastAsia" w:asciiTheme="minorEastAsia" w:hAnsiTheme="minorEastAsia" w:cstheme="minorEastAsia"/>
              <w:sz w:val="28"/>
              <w:szCs w:val="28"/>
            </w:rPr>
            <w:t>4.3.1.4.3设计净雨分配过程</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_Toc14550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ind w:left="0" w:leftChars="0" w:firstLine="630" w:firstLineChars="300"/>
            <w:textAlignment w:val="auto"/>
            <w:rPr>
              <w:rFonts w:asciiTheme="minorEastAsia" w:hAnsiTheme="minorEastAsia" w:cstheme="minorEastAsia"/>
              <w:sz w:val="28"/>
              <w:szCs w:val="28"/>
            </w:rPr>
          </w:pPr>
          <w:r>
            <w:rPr>
              <w:rFonts w:hint="eastAsia"/>
            </w:rPr>
            <w:t xml:space="preserve">  </w:t>
          </w:r>
          <w:r>
            <w:fldChar w:fldCharType="begin"/>
          </w:r>
          <w:r>
            <w:instrText xml:space="preserve"> HYPERLINK \l "_Toc20892" </w:instrText>
          </w:r>
          <w:r>
            <w:fldChar w:fldCharType="separate"/>
          </w:r>
          <w:r>
            <w:rPr>
              <w:rFonts w:hint="eastAsia" w:asciiTheme="minorEastAsia" w:hAnsiTheme="minorEastAsia" w:cstheme="minorEastAsia"/>
              <w:sz w:val="28"/>
              <w:szCs w:val="28"/>
            </w:rPr>
            <w:t>4.3.1.4.4设计洪峰流量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_Toc20892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ind w:left="0" w:leftChars="0" w:firstLine="630" w:firstLineChars="300"/>
            <w:textAlignment w:val="auto"/>
            <w:rPr>
              <w:rFonts w:asciiTheme="minorEastAsia" w:hAnsiTheme="minorEastAsia" w:cstheme="minorEastAsia"/>
              <w:sz w:val="28"/>
              <w:szCs w:val="28"/>
            </w:rPr>
          </w:pPr>
          <w:r>
            <w:rPr>
              <w:rFonts w:hint="eastAsia"/>
            </w:rPr>
            <w:t xml:space="preserve">  </w:t>
          </w:r>
          <w:r>
            <w:fldChar w:fldCharType="begin"/>
          </w:r>
          <w:r>
            <w:instrText xml:space="preserve"> HYPERLINK \l "_Toc27952" </w:instrText>
          </w:r>
          <w:r>
            <w:fldChar w:fldCharType="separate"/>
          </w:r>
          <w:r>
            <w:rPr>
              <w:rFonts w:hint="eastAsia" w:asciiTheme="minorEastAsia" w:hAnsiTheme="minorEastAsia" w:cstheme="minorEastAsia"/>
              <w:sz w:val="28"/>
              <w:szCs w:val="28"/>
            </w:rPr>
            <w:t>4.3.1.4.5设计洪水计算成果合理性分析</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_Toc27952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21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"_Toc5829" </w:instrText>
          </w:r>
          <w:r>
            <w:fldChar w:fldCharType="separate"/>
          </w:r>
          <w:r>
            <w:rPr>
              <w:rFonts w:hint="eastAsia" w:asciiTheme="minorEastAsia" w:hAnsiTheme="minorEastAsia" w:cstheme="minorEastAsia"/>
              <w:sz w:val="28"/>
              <w:szCs w:val="28"/>
            </w:rPr>
            <w:t>4.3.2 洪水位标图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_Toc5829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22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"_Toc30696" </w:instrText>
          </w:r>
          <w:r>
            <w:fldChar w:fldCharType="separate"/>
          </w:r>
          <w:r>
            <w:rPr>
              <w:rFonts w:hint="eastAsia" w:asciiTheme="minorEastAsia" w:hAnsiTheme="minorEastAsia" w:cstheme="minorEastAsia"/>
              <w:sz w:val="28"/>
              <w:szCs w:val="28"/>
            </w:rPr>
            <w:t>4.3.3 管理范围界限初步划定</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_Toc30696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22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"_Toc1093" </w:instrText>
          </w:r>
          <w:r>
            <w:fldChar w:fldCharType="separate"/>
          </w:r>
          <w:r>
            <w:rPr>
              <w:rFonts w:hint="eastAsia" w:asciiTheme="minorEastAsia" w:hAnsiTheme="minorEastAsia" w:cstheme="minorEastAsia"/>
              <w:sz w:val="28"/>
              <w:szCs w:val="28"/>
            </w:rPr>
            <w:t>4.3.4 界桩和告示牌预布设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_Toc1093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23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"_Toc13200" </w:instrText>
          </w:r>
          <w:r>
            <w:fldChar w:fldCharType="separate"/>
          </w:r>
          <w:r>
            <w:rPr>
              <w:rFonts w:hint="eastAsia" w:asciiTheme="minorEastAsia" w:hAnsiTheme="minorEastAsia" w:cstheme="minorEastAsia"/>
              <w:sz w:val="28"/>
              <w:szCs w:val="28"/>
            </w:rPr>
            <w:t>4.4 管理范围线实地修正</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_Toc13200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25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"_Toc15740" </w:instrText>
          </w:r>
          <w:r>
            <w:fldChar w:fldCharType="separate"/>
          </w:r>
          <w:r>
            <w:rPr>
              <w:rFonts w:hint="eastAsia" w:asciiTheme="minorEastAsia" w:hAnsiTheme="minorEastAsia" w:cstheme="minorEastAsia"/>
              <w:sz w:val="28"/>
              <w:szCs w:val="28"/>
            </w:rPr>
            <w:t>5 划界依据和标准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_Toc15740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25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"_Toc22910" </w:instrText>
          </w:r>
          <w:r>
            <w:fldChar w:fldCharType="separate"/>
          </w:r>
          <w:r>
            <w:rPr>
              <w:rFonts w:hint="eastAsia" w:asciiTheme="minorEastAsia" w:hAnsiTheme="minorEastAsia" w:cstheme="minorEastAsia"/>
              <w:sz w:val="28"/>
              <w:szCs w:val="28"/>
            </w:rPr>
            <w:t>5.1 无堤防的河道管理范围划界标准和依据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_Toc22910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26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"_Toc5275" </w:instrText>
          </w:r>
          <w:r>
            <w:fldChar w:fldCharType="separate"/>
          </w:r>
          <w:r>
            <w:rPr>
              <w:rFonts w:hint="eastAsia" w:asciiTheme="minorEastAsia" w:hAnsiTheme="minorEastAsia" w:cstheme="minorEastAsia"/>
              <w:sz w:val="28"/>
              <w:szCs w:val="28"/>
            </w:rPr>
            <w:t>6 其他相关情况说明</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_Toc5275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27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"_Toc16521" </w:instrText>
          </w:r>
          <w:r>
            <w:fldChar w:fldCharType="separate"/>
          </w:r>
          <w:r>
            <w:rPr>
              <w:rFonts w:hint="eastAsia" w:asciiTheme="minorEastAsia" w:hAnsiTheme="minorEastAsia" w:cstheme="minorEastAsia"/>
              <w:sz w:val="28"/>
              <w:szCs w:val="28"/>
            </w:rPr>
            <w:t>6.1 划界数学基础标准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_Toc16521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27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"_Toc17626" </w:instrText>
          </w:r>
          <w:r>
            <w:fldChar w:fldCharType="separate"/>
          </w:r>
          <w:r>
            <w:rPr>
              <w:rFonts w:hint="eastAsia" w:asciiTheme="minorEastAsia" w:hAnsiTheme="minorEastAsia" w:cstheme="minorEastAsia"/>
              <w:sz w:val="28"/>
              <w:szCs w:val="28"/>
            </w:rPr>
            <w:t>6.2 划界连线方式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_Toc17626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27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"_Toc32712" </w:instrText>
          </w:r>
          <w:r>
            <w:fldChar w:fldCharType="separate"/>
          </w:r>
          <w:r>
            <w:rPr>
              <w:rFonts w:hint="eastAsia" w:asciiTheme="minorEastAsia" w:hAnsiTheme="minorEastAsia" w:cstheme="minorEastAsia"/>
              <w:sz w:val="28"/>
              <w:szCs w:val="28"/>
            </w:rPr>
            <w:t>6.3 河湖划界数据存储格式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_Toc32712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"_Toc5834" </w:instrText>
          </w:r>
          <w:r>
            <w:fldChar w:fldCharType="separate"/>
          </w:r>
          <w:r>
            <w:rPr>
              <w:rFonts w:hint="eastAsia" w:asciiTheme="minorEastAsia" w:hAnsiTheme="minorEastAsia" w:cstheme="minorEastAsia"/>
              <w:sz w:val="28"/>
              <w:szCs w:val="28"/>
            </w:rPr>
            <w:t>6.4 管理范围界桩编号</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_Toc5834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"_Toc23567" </w:instrText>
          </w:r>
          <w:r>
            <w:fldChar w:fldCharType="separate"/>
          </w:r>
          <w:r>
            <w:rPr>
              <w:rFonts w:hint="eastAsia" w:asciiTheme="minorEastAsia" w:hAnsiTheme="minorEastAsia" w:cstheme="minorEastAsia"/>
              <w:sz w:val="28"/>
              <w:szCs w:val="28"/>
            </w:rPr>
            <w:t>6.5 管理范围告示牌编号</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_Toc23567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29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"_Toc2130" </w:instrText>
          </w:r>
          <w:r>
            <w:fldChar w:fldCharType="separate"/>
          </w:r>
          <w:r>
            <w:rPr>
              <w:rFonts w:hint="eastAsia" w:asciiTheme="minorEastAsia" w:hAnsiTheme="minorEastAsia" w:cstheme="minorEastAsia"/>
              <w:sz w:val="28"/>
              <w:szCs w:val="28"/>
            </w:rPr>
            <w:t>6.6 界桩、告示牌制作与埋设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_Toc2130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29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"_Toc32386" </w:instrText>
          </w:r>
          <w:r>
            <w:fldChar w:fldCharType="separate"/>
          </w:r>
          <w:r>
            <w:rPr>
              <w:rFonts w:hint="eastAsia" w:asciiTheme="minorEastAsia" w:hAnsiTheme="minorEastAsia" w:cstheme="minorEastAsia"/>
              <w:sz w:val="28"/>
              <w:szCs w:val="28"/>
            </w:rPr>
            <w:t>6.6.1界桩制作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_Toc32386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29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"_Toc7541" </w:instrText>
          </w:r>
          <w:r>
            <w:fldChar w:fldCharType="separate"/>
          </w:r>
          <w:r>
            <w:rPr>
              <w:rFonts w:hint="eastAsia" w:asciiTheme="minorEastAsia" w:hAnsiTheme="minorEastAsia" w:cstheme="minorEastAsia"/>
              <w:sz w:val="28"/>
              <w:szCs w:val="28"/>
            </w:rPr>
            <w:t>6.6.2界桩埋设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_Toc7541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29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"_Toc9413" </w:instrText>
          </w:r>
          <w:r>
            <w:fldChar w:fldCharType="separate"/>
          </w:r>
          <w:r>
            <w:rPr>
              <w:rFonts w:hint="eastAsia" w:asciiTheme="minorEastAsia" w:hAnsiTheme="minorEastAsia" w:cstheme="minorEastAsia"/>
              <w:sz w:val="28"/>
              <w:szCs w:val="28"/>
            </w:rPr>
            <w:t>6.6.3告示牌制作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_Toc9413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"_Toc26700" </w:instrText>
          </w:r>
          <w:r>
            <w:fldChar w:fldCharType="separate"/>
          </w:r>
          <w:r>
            <w:rPr>
              <w:rFonts w:hint="eastAsia" w:asciiTheme="minorEastAsia" w:hAnsiTheme="minorEastAsia" w:cstheme="minorEastAsia"/>
              <w:sz w:val="28"/>
              <w:szCs w:val="28"/>
            </w:rPr>
            <w:t>6.6.4告示牌埋设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_Toc26700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31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"_Toc16260" </w:instrText>
          </w:r>
          <w:r>
            <w:fldChar w:fldCharType="separate"/>
          </w:r>
          <w:r>
            <w:rPr>
              <w:rFonts w:hint="eastAsia" w:asciiTheme="minorEastAsia" w:hAnsiTheme="minorEastAsia" w:cstheme="minorEastAsia"/>
              <w:sz w:val="28"/>
              <w:szCs w:val="28"/>
            </w:rPr>
            <w:t>6.7 界桩和告示牌位置采集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_Toc16260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31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pPr>
          <w:r>
            <w:fldChar w:fldCharType="begin"/>
          </w:r>
          <w:r>
            <w:instrText xml:space="preserve"> HYPERLINK \l "_Toc2528" </w:instrText>
          </w:r>
          <w:r>
            <w:fldChar w:fldCharType="separate"/>
          </w:r>
          <w:r>
            <w:rPr>
              <w:rFonts w:hint="eastAsia" w:asciiTheme="minorEastAsia" w:hAnsiTheme="minorEastAsia" w:cstheme="minorEastAsia"/>
              <w:sz w:val="28"/>
              <w:szCs w:val="28"/>
            </w:rPr>
            <w:t>7 附件</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_Toc2528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32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r>
            <w:rPr>
              <w:rFonts w:hint="eastAsia" w:asciiTheme="minorEastAsia" w:hAnsiTheme="minorEastAsia" w:cstheme="minorEastAsia"/>
              <w:bCs/>
              <w:szCs w:val="28"/>
              <w:lang w:val="zh-CN"/>
            </w:rPr>
            <w:fldChar w:fldCharType="end"/>
          </w:r>
        </w:p>
      </w:sdtContent>
    </w:sdt>
    <w:p>
      <w:pPr>
        <w:pStyle w:val="41"/>
        <w:ind w:firstLine="0" w:firstLineChars="0"/>
        <w:sectPr>
          <w:footerReference r:id="rId3" w:type="default"/>
          <w:pgSz w:w="11906" w:h="16838"/>
          <w:pgMar w:top="1440" w:right="1800" w:bottom="1440" w:left="1800" w:header="851" w:footer="992" w:gutter="0"/>
          <w:cols w:space="425" w:num="1"/>
          <w:docGrid w:type="lines" w:linePitch="312" w:charSpace="0"/>
        </w:sectPr>
      </w:pPr>
    </w:p>
    <w:p>
      <w:pPr>
        <w:pStyle w:val="3"/>
        <w:ind w:left="0" w:firstLine="0"/>
      </w:pPr>
      <w:bookmarkStart w:id="0" w:name="_Toc11486"/>
      <w:bookmarkStart w:id="1" w:name="_Toc15228261"/>
      <w:r>
        <w:rPr>
          <w:rFonts w:hint="eastAsia"/>
        </w:rPr>
        <w:t>划界工作背景</w:t>
      </w:r>
      <w:bookmarkEnd w:id="0"/>
      <w:bookmarkEnd w:id="1"/>
    </w:p>
    <w:p>
      <w:pPr>
        <w:pStyle w:val="41"/>
        <w:ind w:firstLine="560"/>
        <w:rPr>
          <w:rFonts w:ascii="宋体" w:hAnsi="宋体" w:eastAsia="宋体" w:cs="Times New Roman"/>
        </w:rPr>
      </w:pPr>
      <w:r>
        <w:rPr>
          <w:rFonts w:hint="eastAsia" w:ascii="宋体" w:hAnsi="宋体" w:eastAsia="宋体" w:cs="Times New Roman"/>
        </w:rPr>
        <w:t>河湖及水利工程是国民经济和社会发展的重要基础设施，是保障和服务民生的重要物质载体。河湖及水利工程管理范围界线划定是依法保护河湖及水利工程的重要措施，是加强河湖及水利工程管理的一项基础性工作。岸线利用与经济社会发展状况、土地资源利用密切相关，对经济社会发展、河道行洪和水生态保护都具有十分重要的作用。</w:t>
      </w:r>
    </w:p>
    <w:p>
      <w:pPr>
        <w:pStyle w:val="41"/>
        <w:ind w:firstLine="560"/>
        <w:rPr>
          <w:rFonts w:ascii="宋体" w:hAnsi="宋体" w:eastAsia="宋体" w:cs="Times New Roman"/>
        </w:rPr>
      </w:pPr>
      <w:r>
        <w:rPr>
          <w:rFonts w:hint="eastAsia" w:ascii="宋体" w:hAnsi="宋体" w:eastAsia="宋体" w:cs="Times New Roman"/>
        </w:rPr>
        <w:t>随着经济社会的不断发展，城市化进程加快，河道的岸线利用要求越来越高，沿河开发活动和临水建筑物日益增多，为保障河湖行洪安全和维护河湖健康，科学合理的利用和保护岸线资源，总结近年来岸线开发利用的现状、管理经验以及存在的问题，对河道管理范围进行现场划界确定亟需解决。</w:t>
      </w:r>
    </w:p>
    <w:p>
      <w:pPr>
        <w:pStyle w:val="41"/>
        <w:ind w:firstLine="560"/>
        <w:rPr>
          <w:rFonts w:ascii="宋体" w:hAnsi="宋体" w:eastAsia="宋体" w:cs="Times New Roman"/>
        </w:rPr>
      </w:pPr>
      <w:r>
        <w:rPr>
          <w:rFonts w:hint="eastAsia" w:ascii="宋体" w:hAnsi="宋体" w:eastAsia="宋体" w:cs="Times New Roman"/>
        </w:rPr>
        <w:t>划定河湖管理范围是加强河湖管理的一项重要基础工作，是水利部门依法行政的前提条件，更是落实省委省政府、水利部深化水利改革和全面推行河长制的重要任务。通过划界，明确工程管理和保护范围，有利于依法行政、依法管理河湖及水利工程，有利于河湖及水利工程安全和运行，有利于提高水资源支撑保障能力。</w:t>
      </w:r>
    </w:p>
    <w:p>
      <w:pPr>
        <w:pStyle w:val="41"/>
        <w:ind w:firstLine="560"/>
        <w:rPr>
          <w:rFonts w:ascii="宋体" w:hAnsi="宋体" w:eastAsia="宋体" w:cs="Times New Roman"/>
        </w:rPr>
      </w:pPr>
      <w:r>
        <w:rPr>
          <w:rFonts w:hint="eastAsia" w:ascii="宋体" w:hAnsi="宋体" w:eastAsia="宋体" w:cs="Times New Roman"/>
        </w:rPr>
        <w:t>为深入贯彻落实党的十八届三中全会精神，切实加强河湖管理和水利工程管理，充分发挥河湖功能和水利工程效益，2014年1月水利部印发了《水利部关于深化水利改革的指导意见》（水规计〔2014〕48号），要求强化河湖管理与保护，依法划定河湖管理和保护范围，开展河湖水域岸线登记。</w:t>
      </w:r>
    </w:p>
    <w:p>
      <w:pPr>
        <w:pStyle w:val="41"/>
        <w:ind w:firstLine="560"/>
        <w:rPr>
          <w:rFonts w:ascii="宋体" w:hAnsi="宋体" w:eastAsia="宋体" w:cs="Times New Roman"/>
        </w:rPr>
      </w:pPr>
      <w:r>
        <w:rPr>
          <w:rFonts w:ascii="宋体" w:hAnsi="宋体" w:eastAsia="宋体" w:cs="Times New Roman"/>
        </w:rPr>
        <w:t>2014</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月水利部印发了《水利部关于开展河湖管理范围和水利工程管理与保护范围划定工作的通知》（水建管〔</w:t>
      </w:r>
      <w:r>
        <w:rPr>
          <w:rFonts w:ascii="宋体" w:hAnsi="宋体" w:eastAsia="宋体" w:cs="Times New Roman"/>
        </w:rPr>
        <w:t>2014</w:t>
      </w:r>
      <w:r>
        <w:rPr>
          <w:rFonts w:hint="eastAsia" w:ascii="宋体" w:hAnsi="宋体" w:eastAsia="宋体" w:cs="Times New Roman"/>
        </w:rPr>
        <w:t>〕</w:t>
      </w:r>
      <w:r>
        <w:rPr>
          <w:rFonts w:ascii="宋体" w:hAnsi="宋体" w:eastAsia="宋体" w:cs="Times New Roman"/>
        </w:rPr>
        <w:t>285</w:t>
      </w:r>
      <w:r>
        <w:rPr>
          <w:rFonts w:hint="eastAsia" w:ascii="宋体" w:hAnsi="宋体" w:eastAsia="宋体" w:cs="Times New Roman"/>
        </w:rPr>
        <w:t>号），要求</w:t>
      </w:r>
      <w:r>
        <w:rPr>
          <w:rFonts w:ascii="宋体" w:hAnsi="宋体" w:eastAsia="宋体" w:cs="Times New Roman"/>
        </w:rPr>
        <w:t>2017</w:t>
      </w:r>
      <w:r>
        <w:rPr>
          <w:rFonts w:hint="eastAsia" w:ascii="宋体" w:hAnsi="宋体" w:eastAsia="宋体" w:cs="Times New Roman"/>
        </w:rPr>
        <w:t>年底前完成省级水行政主管部门直管的河湖管理范围和水利工程管理与保护范围划定；</w:t>
      </w:r>
      <w:r>
        <w:rPr>
          <w:rFonts w:ascii="宋体" w:hAnsi="宋体" w:eastAsia="宋体" w:cs="Times New Roman"/>
        </w:rPr>
        <w:t>2020</w:t>
      </w:r>
      <w:r>
        <w:rPr>
          <w:rFonts w:hint="eastAsia" w:ascii="宋体" w:hAnsi="宋体" w:eastAsia="宋体" w:cs="Times New Roman"/>
        </w:rPr>
        <w:t>年底前基本完成国有水管单位管理的其他河湖管理范围和水利工程管理与保护范围划定，推进建立范围明确、权属清晰、责任落实的河湖管理和水利工程管理保护责任体系。</w:t>
      </w:r>
    </w:p>
    <w:p>
      <w:pPr>
        <w:pStyle w:val="41"/>
        <w:ind w:firstLine="560"/>
        <w:rPr>
          <w:rFonts w:ascii="宋体" w:hAnsi="宋体" w:eastAsia="宋体" w:cs="Times New Roman"/>
        </w:rPr>
      </w:pPr>
      <w:r>
        <w:rPr>
          <w:rFonts w:ascii="宋体" w:hAnsi="宋体" w:eastAsia="宋体" w:cs="Times New Roman"/>
        </w:rPr>
        <w:t>2018</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w:t>
      </w:r>
      <w:r>
        <w:rPr>
          <w:rFonts w:ascii="宋体" w:hAnsi="宋体" w:eastAsia="宋体" w:cs="Times New Roman"/>
        </w:rPr>
        <w:t>14</w:t>
      </w:r>
      <w:r>
        <w:rPr>
          <w:rFonts w:hint="eastAsia" w:ascii="宋体" w:hAnsi="宋体" w:eastAsia="宋体" w:cs="Times New Roman"/>
        </w:rPr>
        <w:t>日，湖南省水利厅、湖南省国土资源厅联合下发《关于做好全省河湖管理范围划定工作的通知（湘水发〔</w:t>
      </w:r>
      <w:r>
        <w:rPr>
          <w:rFonts w:ascii="宋体" w:hAnsi="宋体" w:eastAsia="宋体" w:cs="Times New Roman"/>
        </w:rPr>
        <w:t>2018</w:t>
      </w:r>
      <w:r>
        <w:rPr>
          <w:rFonts w:hint="eastAsia" w:ascii="宋体" w:hAnsi="宋体" w:eastAsia="宋体" w:cs="Times New Roman"/>
        </w:rPr>
        <w:t>〕</w:t>
      </w:r>
      <w:r>
        <w:rPr>
          <w:rFonts w:ascii="宋体" w:hAnsi="宋体" w:eastAsia="宋体" w:cs="Times New Roman"/>
        </w:rPr>
        <w:t>22</w:t>
      </w:r>
      <w:r>
        <w:rPr>
          <w:rFonts w:hint="eastAsia" w:ascii="宋体" w:hAnsi="宋体" w:eastAsia="宋体" w:cs="Times New Roman"/>
        </w:rPr>
        <w:t>号）》，要求全省各市州县（市、区）水利局、国土资源局开展河湖管理范围划定工作，制定了河湖管理范围划定工作的目标任务、工作原则、工作步骤、有关要求及技术导则，要求各地要按照</w:t>
      </w:r>
      <w:r>
        <w:rPr>
          <w:rFonts w:ascii="宋体" w:hAnsi="宋体" w:eastAsia="宋体" w:cs="Times New Roman"/>
        </w:rPr>
        <w:t>2020</w:t>
      </w:r>
      <w:r>
        <w:rPr>
          <w:rFonts w:hint="eastAsia" w:ascii="宋体" w:hAnsi="宋体" w:eastAsia="宋体" w:cs="Times New Roman"/>
        </w:rPr>
        <w:t>年底前基本完成河湖管理范围划定的目标，精心组织，倒排工期，加快进度，强化督导，确保按期完成任务。</w:t>
      </w:r>
      <w:r>
        <w:rPr>
          <w:rFonts w:ascii="宋体" w:hAnsi="宋体" w:eastAsia="宋体" w:cs="Times New Roman"/>
        </w:rPr>
        <w:t>2018</w:t>
      </w:r>
      <w:r>
        <w:rPr>
          <w:rFonts w:hint="eastAsia" w:ascii="宋体" w:hAnsi="宋体" w:eastAsia="宋体" w:cs="Times New Roman"/>
        </w:rPr>
        <w:t>年完成全省流域面积在</w:t>
      </w:r>
      <w:r>
        <w:rPr>
          <w:rFonts w:ascii="宋体" w:hAnsi="宋体" w:eastAsia="宋体" w:cs="Times New Roman"/>
        </w:rPr>
        <w:t>50</w:t>
      </w:r>
      <w:r>
        <w:rPr>
          <w:rFonts w:hint="eastAsia" w:ascii="宋体" w:hAnsi="宋体" w:eastAsia="宋体" w:cs="Times New Roman"/>
        </w:rPr>
        <w:t>平方公里以上河流及常年水面面积在</w:t>
      </w:r>
      <w:r>
        <w:rPr>
          <w:rFonts w:ascii="宋体" w:hAnsi="宋体" w:eastAsia="宋体" w:cs="Times New Roman"/>
        </w:rPr>
        <w:t>1</w:t>
      </w:r>
      <w:r>
        <w:rPr>
          <w:rFonts w:hint="eastAsia" w:ascii="宋体" w:hAnsi="宋体" w:eastAsia="宋体" w:cs="Times New Roman"/>
        </w:rPr>
        <w:t>平方公里以上湖泊的管理范围划界方案编制及审查工作；</w:t>
      </w:r>
      <w:r>
        <w:rPr>
          <w:rFonts w:ascii="宋体" w:hAnsi="宋体" w:eastAsia="宋体" w:cs="Times New Roman"/>
        </w:rPr>
        <w:t>2019</w:t>
      </w:r>
      <w:r>
        <w:rPr>
          <w:rFonts w:hint="eastAsia" w:ascii="宋体" w:hAnsi="宋体" w:eastAsia="宋体" w:cs="Times New Roman"/>
        </w:rPr>
        <w:t>年全省完成划界方案报批工作；</w:t>
      </w:r>
      <w:r>
        <w:rPr>
          <w:rFonts w:ascii="宋体" w:hAnsi="宋体" w:eastAsia="宋体" w:cs="Times New Roman"/>
        </w:rPr>
        <w:t>2020</w:t>
      </w:r>
      <w:r>
        <w:rPr>
          <w:rFonts w:hint="eastAsia" w:ascii="宋体" w:hAnsi="宋体" w:eastAsia="宋体" w:cs="Times New Roman"/>
        </w:rPr>
        <w:t>年完成河湖管理范围界桩埋设工作。</w:t>
      </w:r>
    </w:p>
    <w:p>
      <w:pPr>
        <w:pStyle w:val="41"/>
        <w:ind w:firstLine="560"/>
        <w:rPr>
          <w:rFonts w:ascii="宋体" w:hAnsi="宋体" w:eastAsia="宋体" w:cs="Times New Roman"/>
        </w:rPr>
      </w:pP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2</w:t>
      </w:r>
      <w:r>
        <w:rPr>
          <w:rFonts w:hint="eastAsia" w:ascii="宋体" w:hAnsi="宋体" w:eastAsia="宋体" w:cs="Times New Roman"/>
        </w:rPr>
        <w:t>月</w:t>
      </w:r>
      <w:r>
        <w:rPr>
          <w:rFonts w:ascii="宋体" w:hAnsi="宋体" w:eastAsia="宋体" w:cs="Times New Roman"/>
        </w:rPr>
        <w:t>11</w:t>
      </w:r>
      <w:r>
        <w:rPr>
          <w:rFonts w:hint="eastAsia" w:ascii="宋体" w:hAnsi="宋体" w:eastAsia="宋体" w:cs="Times New Roman"/>
        </w:rPr>
        <w:t>日，湖南省水利厅、湖南省河长制工作委员会办公室联合下发《关于进一步加快推进河湖管理范围划定工作的通知（湘河委办〔</w:t>
      </w:r>
      <w:r>
        <w:rPr>
          <w:rFonts w:ascii="宋体" w:hAnsi="宋体" w:eastAsia="宋体" w:cs="Times New Roman"/>
        </w:rPr>
        <w:t>2019</w:t>
      </w:r>
      <w:r>
        <w:rPr>
          <w:rFonts w:hint="eastAsia" w:ascii="宋体" w:hAnsi="宋体" w:eastAsia="宋体" w:cs="Times New Roman"/>
        </w:rPr>
        <w:t>〕</w:t>
      </w:r>
      <w:r>
        <w:rPr>
          <w:rFonts w:ascii="宋体" w:hAnsi="宋体" w:eastAsia="宋体" w:cs="Times New Roman"/>
        </w:rPr>
        <w:t>3</w:t>
      </w:r>
      <w:r>
        <w:rPr>
          <w:rFonts w:hint="eastAsia" w:ascii="宋体" w:hAnsi="宋体" w:eastAsia="宋体" w:cs="Times New Roman"/>
        </w:rPr>
        <w:t>号）》，要求全省各市州河长制工作委员会办公室、水利（水务）局开展河湖管理范围划定工作，制定了河湖管理范围划定工作的目标任务、工作原则、工作步骤，各地要按照</w:t>
      </w: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9</w:t>
      </w:r>
      <w:r>
        <w:rPr>
          <w:rFonts w:hint="eastAsia" w:ascii="宋体" w:hAnsi="宋体" w:eastAsia="宋体" w:cs="Times New Roman"/>
        </w:rPr>
        <w:t>月底完成划界方案审核，</w:t>
      </w:r>
      <w:r>
        <w:rPr>
          <w:rFonts w:ascii="宋体" w:hAnsi="宋体" w:eastAsia="宋体" w:cs="Times New Roman"/>
        </w:rPr>
        <w:t>10</w:t>
      </w:r>
      <w:r>
        <w:rPr>
          <w:rFonts w:hint="eastAsia" w:ascii="宋体" w:hAnsi="宋体" w:eastAsia="宋体" w:cs="Times New Roman"/>
        </w:rPr>
        <w:t>月底完成公示，</w:t>
      </w:r>
      <w:r>
        <w:rPr>
          <w:rFonts w:ascii="宋体" w:hAnsi="宋体" w:eastAsia="宋体" w:cs="Times New Roman"/>
        </w:rPr>
        <w:t>11</w:t>
      </w:r>
      <w:r>
        <w:rPr>
          <w:rFonts w:hint="eastAsia" w:ascii="宋体" w:hAnsi="宋体" w:eastAsia="宋体" w:cs="Times New Roman"/>
        </w:rPr>
        <w:t>月底完成批复，</w:t>
      </w:r>
      <w:r>
        <w:rPr>
          <w:rFonts w:ascii="宋体" w:hAnsi="宋体" w:eastAsia="宋体" w:cs="Times New Roman"/>
        </w:rPr>
        <w:t>12</w:t>
      </w:r>
      <w:r>
        <w:rPr>
          <w:rFonts w:hint="eastAsia" w:ascii="宋体" w:hAnsi="宋体" w:eastAsia="宋体" w:cs="Times New Roman"/>
        </w:rPr>
        <w:t>月底公告，</w:t>
      </w:r>
      <w:r>
        <w:rPr>
          <w:rFonts w:ascii="宋体" w:hAnsi="宋体" w:eastAsia="宋体" w:cs="Times New Roman"/>
        </w:rPr>
        <w:t>2020</w:t>
      </w:r>
      <w:r>
        <w:rPr>
          <w:rFonts w:hint="eastAsia" w:ascii="宋体" w:hAnsi="宋体" w:eastAsia="宋体" w:cs="Times New Roman"/>
        </w:rPr>
        <w:t>年完成界桩埋设的总体要求推进工作。</w:t>
      </w:r>
      <w:r>
        <w:rPr>
          <w:rFonts w:ascii="宋体" w:hAnsi="宋体" w:eastAsia="宋体" w:cs="Times New Roman"/>
        </w:rPr>
        <w:t>2021</w:t>
      </w:r>
      <w:r>
        <w:rPr>
          <w:rFonts w:hint="eastAsia" w:ascii="宋体" w:hAnsi="宋体" w:eastAsia="宋体" w:cs="Times New Roman"/>
        </w:rPr>
        <w:t>年年底前基本完成全省流域面积在</w:t>
      </w:r>
      <w:r>
        <w:rPr>
          <w:rFonts w:ascii="宋体" w:hAnsi="宋体" w:eastAsia="宋体" w:cs="Times New Roman"/>
        </w:rPr>
        <w:t>50</w:t>
      </w:r>
      <w:r>
        <w:rPr>
          <w:rFonts w:hint="eastAsia" w:ascii="宋体" w:hAnsi="宋体" w:eastAsia="宋体" w:cs="Times New Roman"/>
        </w:rPr>
        <w:t>平方公里以下河流及常年水面面积在1平方公里以下湖泊的河湖管理范围划定工作。</w:t>
      </w:r>
    </w:p>
    <w:p>
      <w:pPr>
        <w:pStyle w:val="41"/>
        <w:ind w:firstLine="560"/>
      </w:pPr>
      <w:r>
        <w:rPr>
          <w:rFonts w:hint="eastAsia" w:ascii="宋体" w:hAnsi="宋体" w:eastAsia="宋体" w:cs="Times New Roman"/>
        </w:rPr>
        <w:t>为加快推进永州市道县河湖管理范围划定工作，道县水利局委托湖南省地质矿产勘查开发局四0九队（以下简称我队）作为技术支持单位，我队在收集已有资料的基础上，为加大精度，派出专业测量队伍，现场测绘河道断面及地形，确保了已有资料的准确性。经过精心设计，多次进行现场踏勘，积极与业主沟通，于2019年9月完成了《白湖村河道县河段管理范围划定方案》的编制</w:t>
      </w:r>
      <w:r>
        <w:rPr>
          <w:rFonts w:hint="eastAsia"/>
        </w:rPr>
        <w:t>。</w:t>
      </w:r>
    </w:p>
    <w:p>
      <w:pPr>
        <w:pStyle w:val="3"/>
        <w:ind w:left="0" w:firstLine="0"/>
      </w:pPr>
      <w:bookmarkStart w:id="2" w:name="_Toc21165"/>
      <w:bookmarkStart w:id="3" w:name="_Toc15228262"/>
      <w:r>
        <w:rPr>
          <w:rFonts w:hint="eastAsia"/>
        </w:rPr>
        <w:t>河段基本情况</w:t>
      </w:r>
      <w:bookmarkEnd w:id="2"/>
      <w:bookmarkEnd w:id="3"/>
    </w:p>
    <w:p>
      <w:pPr>
        <w:pStyle w:val="41"/>
        <w:ind w:firstLine="560"/>
      </w:pPr>
      <w:r>
        <w:rPr>
          <w:rFonts w:hint="eastAsia" w:ascii="宋体" w:hAnsi="宋体" w:eastAsia="宋体" w:cs="Times New Roman"/>
        </w:rPr>
        <w:t>白湖村河发源于江永县河源，溪河纵横交错，白湖村河是洞尾河的一级支流，位于道县的西南部，道县兴龙洞入境，经田广洞村、麦山洞村、土坝头村、郑家。河流道县境内长度约</w:t>
      </w:r>
      <w:r>
        <w:rPr>
          <w:rFonts w:hint="eastAsia" w:ascii="宋体" w:hAnsi="宋体" w:eastAsia="宋体"/>
        </w:rPr>
        <w:t>9.8</w:t>
      </w:r>
      <w:r>
        <w:rPr>
          <w:rFonts w:hint="eastAsia" w:ascii="宋体" w:hAnsi="宋体" w:eastAsia="宋体" w:cs="Times New Roman"/>
        </w:rPr>
        <w:t>km，</w:t>
      </w:r>
      <w:r>
        <w:rPr>
          <w:rFonts w:ascii="宋体" w:hAnsi="宋体" w:eastAsia="宋体"/>
        </w:rPr>
        <w:t>平均宽度</w:t>
      </w:r>
      <w:r>
        <w:rPr>
          <w:rFonts w:hint="eastAsia" w:ascii="宋体" w:hAnsi="宋体" w:eastAsia="宋体"/>
        </w:rPr>
        <w:t>约9.5</w:t>
      </w:r>
      <w:r>
        <w:rPr>
          <w:rFonts w:ascii="宋体" w:hAnsi="宋体" w:eastAsia="宋体"/>
        </w:rPr>
        <w:t>米，最大宽</w:t>
      </w:r>
      <w:r>
        <w:rPr>
          <w:rFonts w:hint="eastAsia" w:ascii="宋体" w:hAnsi="宋体" w:eastAsia="宋体"/>
        </w:rPr>
        <w:t>约11</w:t>
      </w:r>
      <w:r>
        <w:rPr>
          <w:rFonts w:ascii="宋体" w:hAnsi="宋体" w:eastAsia="宋体"/>
        </w:rPr>
        <w:t>米</w:t>
      </w:r>
      <w:r>
        <w:rPr>
          <w:rFonts w:hint="eastAsia" w:ascii="宋体" w:hAnsi="宋体" w:eastAsia="宋体"/>
        </w:rPr>
        <w:t>；平均水深约0.8米，下游最深处约1.5米。</w:t>
      </w:r>
      <w:r>
        <w:rPr>
          <w:rFonts w:hint="eastAsia" w:ascii="宋体" w:hAnsi="宋体" w:eastAsia="宋体" w:cs="Times New Roman"/>
        </w:rPr>
        <w:t>流域内雨量充沛，气候温和，竹木葱郁，植被条件较好，规划流域内集雨面积约53.8</w:t>
      </w:r>
      <w:r>
        <w:rPr>
          <w:rFonts w:ascii="宋体" w:hAnsi="宋体" w:eastAsia="宋体" w:cs="Times New Roman"/>
        </w:rPr>
        <w:t>k</w:t>
      </w:r>
      <w:r>
        <w:rPr>
          <w:rFonts w:hint="eastAsia" w:ascii="宋体" w:hAnsi="宋体" w:eastAsia="宋体" w:cs="Times New Roman"/>
        </w:rPr>
        <w:t>m</w:t>
      </w:r>
      <w:r>
        <w:rPr>
          <w:rFonts w:hint="eastAsia" w:ascii="宋体" w:hAnsi="宋体" w:eastAsia="宋体" w:cs="Times New Roman"/>
          <w:vertAlign w:val="superscript"/>
        </w:rPr>
        <w:t>2</w:t>
      </w:r>
      <w:r>
        <w:rPr>
          <w:rFonts w:hint="eastAsia" w:ascii="宋体" w:hAnsi="宋体" w:eastAsia="宋体" w:cs="Times New Roman"/>
        </w:rPr>
        <w:t>，平均坡降2.67‰。地理坐标位置为东经111</w:t>
      </w:r>
      <w:r>
        <w:rPr>
          <w:rFonts w:ascii="宋体" w:hAnsi="宋体" w:eastAsia="宋体" w:cs="Times New Roman"/>
        </w:rPr>
        <w:t>°</w:t>
      </w:r>
      <w:r>
        <w:rPr>
          <w:rFonts w:hint="eastAsia" w:ascii="宋体" w:hAnsi="宋体" w:eastAsia="宋体" w:cs="Times New Roman"/>
        </w:rPr>
        <w:t>28</w:t>
      </w:r>
      <w:r>
        <w:rPr>
          <w:rFonts w:ascii="宋体" w:hAnsi="宋体" w:eastAsia="宋体" w:cs="Times New Roman"/>
        </w:rPr>
        <w:t>'</w:t>
      </w:r>
      <w:r>
        <w:rPr>
          <w:rFonts w:hint="eastAsia" w:ascii="宋体" w:hAnsi="宋体" w:eastAsia="宋体" w:cs="Times New Roman"/>
        </w:rPr>
        <w:t>--111</w:t>
      </w:r>
      <w:r>
        <w:rPr>
          <w:rFonts w:ascii="宋体" w:hAnsi="宋体" w:eastAsia="宋体" w:cs="Times New Roman"/>
        </w:rPr>
        <w:t>°</w:t>
      </w:r>
      <w:r>
        <w:rPr>
          <w:rFonts w:hint="eastAsia" w:ascii="宋体" w:hAnsi="宋体" w:eastAsia="宋体" w:cs="Times New Roman"/>
        </w:rPr>
        <w:t>55</w:t>
      </w:r>
      <w:r>
        <w:rPr>
          <w:rFonts w:ascii="宋体" w:hAnsi="宋体" w:eastAsia="宋体" w:cs="Times New Roman"/>
        </w:rPr>
        <w:t>'</w:t>
      </w:r>
      <w:r>
        <w:rPr>
          <w:rFonts w:hint="eastAsia" w:ascii="宋体" w:hAnsi="宋体" w:eastAsia="宋体" w:cs="Times New Roman"/>
        </w:rPr>
        <w:t>，北纬25</w:t>
      </w:r>
      <w:r>
        <w:rPr>
          <w:rFonts w:ascii="宋体" w:hAnsi="宋体" w:eastAsia="宋体" w:cs="Times New Roman"/>
        </w:rPr>
        <w:t>°</w:t>
      </w:r>
      <w:r>
        <w:rPr>
          <w:rFonts w:hint="eastAsia" w:ascii="宋体" w:hAnsi="宋体" w:eastAsia="宋体" w:cs="Times New Roman"/>
        </w:rPr>
        <w:t>21</w:t>
      </w:r>
      <w:r>
        <w:rPr>
          <w:rFonts w:ascii="宋体" w:hAnsi="宋体" w:eastAsia="宋体" w:cs="Times New Roman"/>
        </w:rPr>
        <w:t>'</w:t>
      </w:r>
      <w:r>
        <w:rPr>
          <w:rFonts w:hint="eastAsia" w:ascii="宋体" w:hAnsi="宋体" w:eastAsia="宋体" w:cs="Times New Roman"/>
        </w:rPr>
        <w:t>--25</w:t>
      </w:r>
      <w:r>
        <w:rPr>
          <w:rFonts w:ascii="宋体" w:hAnsi="宋体" w:eastAsia="宋体" w:cs="Times New Roman"/>
        </w:rPr>
        <w:t>°</w:t>
      </w:r>
      <w:r>
        <w:rPr>
          <w:rFonts w:hint="eastAsia" w:ascii="宋体" w:hAnsi="宋体" w:eastAsia="宋体" w:cs="Times New Roman"/>
        </w:rPr>
        <w:t>22</w:t>
      </w:r>
      <w:r>
        <w:rPr>
          <w:rFonts w:ascii="宋体" w:hAnsi="宋体" w:eastAsia="宋体" w:cs="Times New Roman"/>
        </w:rPr>
        <w:t>'</w:t>
      </w:r>
      <w:r>
        <w:rPr>
          <w:rFonts w:hint="eastAsia" w:ascii="宋体" w:hAnsi="宋体" w:eastAsia="宋体" w:cs="Times New Roman"/>
        </w:rPr>
        <w:t>之间，该流域属亚热带湿润地区，具有气候温和、四季分明、春夏之间雨量集中，秋季多旱，暑热期长等气候特点。</w:t>
      </w:r>
      <w:r>
        <w:rPr>
          <w:rFonts w:hint="eastAsia" w:eastAsia="宋体"/>
        </w:rPr>
        <w:t>白湖村河</w:t>
      </w:r>
      <w:r>
        <w:rPr>
          <w:rFonts w:hint="eastAsia"/>
        </w:rPr>
        <w:t>道县河段流域概况见图1。</w:t>
      </w:r>
    </w:p>
    <w:p>
      <w:pPr>
        <w:pStyle w:val="41"/>
        <w:ind w:firstLine="562"/>
        <w:jc w:val="center"/>
        <w:rPr>
          <w:b/>
          <w:bCs/>
        </w:rPr>
      </w:pPr>
    </w:p>
    <w:p>
      <w:pPr>
        <w:pStyle w:val="41"/>
        <w:ind w:firstLine="562"/>
        <w:jc w:val="center"/>
        <w:rPr>
          <w:b/>
          <w:bCs/>
        </w:rPr>
      </w:pPr>
      <w:r>
        <w:rPr>
          <w:rFonts w:hint="eastAsia"/>
          <w:b/>
          <w:bCs/>
        </w:rPr>
        <w:t>白湖村河流域河流概况图</w:t>
      </w:r>
    </w:p>
    <w:p>
      <w:pPr>
        <w:pStyle w:val="41"/>
        <w:ind w:firstLine="560"/>
      </w:pPr>
      <w:r>
        <w:rPr>
          <w:rFonts w:hint="eastAsia"/>
        </w:rPr>
        <w:drawing>
          <wp:inline distT="0" distB="0" distL="114300" distR="114300">
            <wp:extent cx="5132705" cy="3218180"/>
            <wp:effectExtent l="0" t="0" r="10795" b="1270"/>
            <wp:docPr id="6" name="图片 6" descr="白湖村概况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白湖村概况图"/>
                    <pic:cNvPicPr>
                      <a:picLocks noChangeAspect="1"/>
                    </pic:cNvPicPr>
                  </pic:nvPicPr>
                  <pic:blipFill>
                    <a:blip r:embed="rId12" cstate="print"/>
                    <a:stretch>
                      <a:fillRect/>
                    </a:stretch>
                  </pic:blipFill>
                  <pic:spPr>
                    <a:xfrm>
                      <a:off x="0" y="0"/>
                      <a:ext cx="5132705" cy="3218180"/>
                    </a:xfrm>
                    <a:prstGeom prst="rect">
                      <a:avLst/>
                    </a:prstGeom>
                  </pic:spPr>
                </pic:pic>
              </a:graphicData>
            </a:graphic>
          </wp:inline>
        </w:drawing>
      </w:r>
    </w:p>
    <w:p>
      <w:pPr>
        <w:pStyle w:val="41"/>
        <w:ind w:firstLine="560"/>
        <w:jc w:val="center"/>
        <w:rPr>
          <w:rFonts w:asciiTheme="minorEastAsia" w:hAnsiTheme="minorEastAsia"/>
        </w:rPr>
      </w:pPr>
      <w:r>
        <w:rPr>
          <w:rFonts w:hint="eastAsia" w:asciiTheme="minorEastAsia" w:hAnsiTheme="minorEastAsia"/>
        </w:rPr>
        <w:t>图1    白湖村河道县河段流域概况图</w:t>
      </w:r>
    </w:p>
    <w:p>
      <w:pPr>
        <w:pStyle w:val="4"/>
        <w:ind w:left="0" w:firstLine="0"/>
      </w:pPr>
      <w:bookmarkStart w:id="4" w:name="_Toc15228263"/>
      <w:bookmarkStart w:id="5" w:name="_Toc15049"/>
      <w:r>
        <w:rPr>
          <w:rFonts w:hint="eastAsia"/>
        </w:rPr>
        <w:t>河段洪水位情况</w:t>
      </w:r>
      <w:bookmarkEnd w:id="4"/>
      <w:bookmarkEnd w:id="5"/>
    </w:p>
    <w:p>
      <w:pPr>
        <w:pStyle w:val="41"/>
        <w:ind w:firstLine="560"/>
        <w:rPr>
          <w:rFonts w:ascii="宋体" w:hAnsi="宋体" w:eastAsia="宋体" w:cs="Times New Roman"/>
        </w:rPr>
      </w:pPr>
      <w:r>
        <w:rPr>
          <w:rFonts w:hint="eastAsia" w:ascii="宋体" w:hAnsi="宋体" w:eastAsia="宋体" w:cs="Times New Roman"/>
        </w:rPr>
        <w:t>白湖村河流域主要受东南季风的影响，春夏之间雨量集中，秋季多旱，多年平均降水量为1514.5mm，其中4-6月份降水量最多，约占全年降水总量的46.5%。</w:t>
      </w:r>
    </w:p>
    <w:p>
      <w:pPr>
        <w:pStyle w:val="41"/>
        <w:ind w:firstLine="560"/>
        <w:rPr>
          <w:rFonts w:ascii="宋体" w:hAnsi="宋体" w:eastAsia="宋体" w:cs="Times New Roman"/>
        </w:rPr>
      </w:pPr>
      <w:r>
        <w:rPr>
          <w:rFonts w:hint="eastAsia" w:ascii="宋体" w:hAnsi="宋体" w:eastAsia="宋体" w:cs="Times New Roman"/>
        </w:rPr>
        <w:t>白湖村河流域暴雨集中、强度大，故春夏易发生山洪，其洪水特性是汇流集中快、历时短、变化大。暴雨在4～7月为锋面暴雨，8月为台风暴雨，前者降雨的天气系统在高空为低槽、低涡，中层为低涡切变，地面为冷锋、静止锋，暴雨的走向多由北向南、由西向东，后者降雨的天气系统为台风或减弱了的热低压，暴雨的走向多由东向西或由东南向西北。</w:t>
      </w:r>
    </w:p>
    <w:p>
      <w:pPr>
        <w:spacing w:beforeLines="50" w:line="360" w:lineRule="auto"/>
        <w:ind w:firstLine="560" w:firstLineChars="200"/>
        <w:rPr>
          <w:rFonts w:asciiTheme="minorEastAsia" w:hAnsiTheme="minorEastAsia" w:cstheme="minorEastAsia"/>
          <w:spacing w:val="-6"/>
          <w:sz w:val="28"/>
          <w:szCs w:val="28"/>
        </w:rPr>
      </w:pPr>
      <w:r>
        <w:rPr>
          <w:rFonts w:hint="eastAsia" w:asciiTheme="minorEastAsia" w:hAnsiTheme="minorEastAsia" w:cstheme="minorEastAsia"/>
          <w:sz w:val="28"/>
          <w:szCs w:val="28"/>
        </w:rPr>
        <w:t>白湖村河道县</w:t>
      </w:r>
      <w:r>
        <w:rPr>
          <w:rFonts w:hint="eastAsia" w:asciiTheme="minorEastAsia" w:hAnsiTheme="minorEastAsia" w:cstheme="minorEastAsia"/>
          <w:spacing w:val="1"/>
          <w:sz w:val="28"/>
          <w:szCs w:val="28"/>
        </w:rPr>
        <w:t>河段全长9.8km，划界长度9.8km，设计洪水位</w:t>
      </w:r>
      <w:r>
        <w:rPr>
          <w:rFonts w:hint="eastAsia" w:asciiTheme="minorEastAsia" w:hAnsiTheme="minorEastAsia" w:cstheme="minorEastAsia"/>
          <w:sz w:val="28"/>
          <w:szCs w:val="28"/>
        </w:rPr>
        <w:t>采用本次计算的设计洪水</w:t>
      </w:r>
      <w:r>
        <w:rPr>
          <w:rFonts w:hint="eastAsia" w:asciiTheme="minorEastAsia" w:hAnsiTheme="minorEastAsia" w:cstheme="minorEastAsia"/>
          <w:spacing w:val="1"/>
          <w:sz w:val="28"/>
          <w:szCs w:val="28"/>
        </w:rPr>
        <w:t>，</w:t>
      </w:r>
      <w:r>
        <w:rPr>
          <w:rFonts w:hint="eastAsia" w:asciiTheme="minorEastAsia" w:hAnsiTheme="minorEastAsia" w:cstheme="minorEastAsia"/>
          <w:spacing w:val="-6"/>
          <w:sz w:val="28"/>
          <w:szCs w:val="28"/>
        </w:rPr>
        <w:t>以控制断面回水推算求得设计洪水位，根据河道水力学水面曲线计算公式：</w:t>
      </w:r>
    </w:p>
    <w:p>
      <w:pPr>
        <w:snapToGrid w:val="0"/>
        <w:spacing w:beforeLines="50"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position w:val="-54"/>
          <w:sz w:val="28"/>
          <w:szCs w:val="28"/>
        </w:rPr>
        <w:object>
          <v:shape id="_x0000_i1025" o:spt="75" type="#_x0000_t75" style="height:50.7pt;width:251.0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p>
    <w:p>
      <w:pPr>
        <w:snapToGrid w:val="0"/>
        <w:spacing w:beforeLines="50"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式中：</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Z</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、Z</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——上、下断面水位，m；</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V</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、V</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——上、下断面流速，m/s；</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Q——河道流量，m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Δs——上下断面间距，m；</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α——动能校正系数，取1.05；</w:t>
      </w:r>
    </w:p>
    <w:p>
      <w:pPr>
        <w:snapToGrid w:val="0"/>
        <w:spacing w:beforeLines="25" w:line="360" w:lineRule="auto"/>
        <w:ind w:right="31" w:rightChars="15" w:firstLine="570"/>
        <w:rPr>
          <w:rFonts w:asciiTheme="minorEastAsia" w:hAnsiTheme="minorEastAsia" w:cstheme="minorEastAsia"/>
          <w:sz w:val="28"/>
          <w:szCs w:val="28"/>
          <w:vertAlign w:val="superscript"/>
        </w:rPr>
      </w:pPr>
      <w:r>
        <w:rPr>
          <w:rFonts w:hint="eastAsia" w:asciiTheme="minorEastAsia" w:hAnsiTheme="minorEastAsia" w:cstheme="minorEastAsia"/>
          <w:position w:val="-6"/>
          <w:sz w:val="28"/>
          <w:szCs w:val="28"/>
        </w:rPr>
        <w:object>
          <v:shape id="_x0000_i1026" o:spt="75" type="#_x0000_t75" style="height:21.9pt;width:10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asciiTheme="minorEastAsia" w:hAnsiTheme="minorEastAsia" w:cstheme="minorEastAsia"/>
          <w:sz w:val="28"/>
          <w:szCs w:val="28"/>
        </w:rPr>
        <w:t xml:space="preserve">——河段平均流量模数, </w:t>
      </w:r>
      <w:r>
        <w:rPr>
          <w:rFonts w:hint="eastAsia" w:asciiTheme="minorEastAsia" w:hAnsiTheme="minorEastAsia" w:cstheme="minorEastAsia"/>
          <w:position w:val="-6"/>
          <w:sz w:val="28"/>
          <w:szCs w:val="28"/>
        </w:rPr>
        <w:object>
          <v:shape id="_x0000_i1027" o:spt="75" type="#_x0000_t75" style="height:21.9pt;width:10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r>
        <w:rPr>
          <w:rFonts w:hint="eastAsia" w:asciiTheme="minorEastAsia" w:hAnsiTheme="minorEastAsia" w:cstheme="minorEastAsia"/>
          <w:position w:val="-24"/>
          <w:sz w:val="28"/>
          <w:szCs w:val="28"/>
        </w:rPr>
        <w:object>
          <v:shape id="_x0000_i1028" o:spt="75" type="#_x0000_t75" style="height:31.3pt;width:11.9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r>
        <w:rPr>
          <w:rFonts w:hint="eastAsia" w:asciiTheme="minorEastAsia" w:hAnsiTheme="minorEastAsia" w:cstheme="minorEastAsia"/>
          <w:sz w:val="28"/>
          <w:szCs w:val="28"/>
        </w:rPr>
        <w:t>(</w:t>
      </w:r>
      <w:r>
        <w:rPr>
          <w:rFonts w:hint="eastAsia" w:asciiTheme="minorEastAsia" w:hAnsiTheme="minorEastAsia" w:cstheme="minorEastAsia"/>
          <w:position w:val="-6"/>
          <w:sz w:val="28"/>
          <w:szCs w:val="28"/>
        </w:rPr>
        <w:object>
          <v:shape id="_x0000_i1029" o:spt="75" type="#_x0000_t75" style="height:21.9pt;width:10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21">
            <o:LockedField>false</o:LockedField>
          </o:OLEObject>
        </w:objec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r>
        <w:rPr>
          <w:rFonts w:hint="eastAsia" w:asciiTheme="minorEastAsia" w:hAnsiTheme="minorEastAsia" w:cstheme="minorEastAsia"/>
          <w:position w:val="-6"/>
          <w:sz w:val="28"/>
          <w:szCs w:val="28"/>
        </w:rPr>
        <w:object>
          <v:shape id="_x0000_i1030" o:spt="75" type="#_x0000_t75" style="height:21.9pt;width:10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22">
            <o:LockedField>false</o:LockedField>
          </o:OLEObject>
        </w:objec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position w:val="-16"/>
          <w:sz w:val="28"/>
          <w:szCs w:val="28"/>
        </w:rPr>
        <w:object>
          <v:shape id="_x0000_i1031" o:spt="75" type="#_x0000_t75" style="height:28.8pt;width:13.15pt;" o:ole="t" filled="f" o:preferrelative="t" stroked="f" coordsize="21600,21600">
            <v:path/>
            <v:fill on="f" focussize="0,0"/>
            <v:stroke on="f" joinstyle="miter"/>
            <v:imagedata r:id="rId24" o:title=""/>
            <o:lock v:ext="edit" aspectratio="t"/>
            <w10:wrap type="none"/>
            <w10:anchorlock/>
          </v:shape>
          <o:OLEObject Type="Embed" ProgID="Equation.3" ShapeID="_x0000_i1031" DrawAspect="Content" ObjectID="_1468075731" r:id="rId23">
            <o:LockedField>false</o:LockedField>
          </o:OLEObject>
        </w:object>
      </w:r>
      <w:r>
        <w:rPr>
          <w:rFonts w:hint="eastAsia" w:asciiTheme="minorEastAsia" w:hAnsiTheme="minorEastAsia" w:cstheme="minorEastAsia"/>
          <w:sz w:val="28"/>
          <w:szCs w:val="28"/>
        </w:rPr>
        <w:t>——河段平均局部水头损失系数；</w:t>
      </w:r>
    </w:p>
    <w:p>
      <w:pPr>
        <w:snapToGrid w:val="0"/>
        <w:spacing w:beforeLines="25" w:line="360" w:lineRule="auto"/>
        <w:ind w:right="31" w:rightChars="15" w:firstLine="565" w:firstLineChars="202"/>
        <w:rPr>
          <w:rFonts w:asciiTheme="minorEastAsia" w:hAnsiTheme="minorEastAsia" w:cstheme="minorEastAsia"/>
          <w:sz w:val="28"/>
          <w:szCs w:val="28"/>
        </w:rPr>
      </w:pPr>
      <w:r>
        <w:rPr>
          <w:rFonts w:hint="eastAsia" w:asciiTheme="minorEastAsia" w:hAnsiTheme="minorEastAsia" w:cstheme="minorEastAsia"/>
          <w:sz w:val="28"/>
          <w:szCs w:val="28"/>
        </w:rPr>
        <w:t>g——重力加速度，m/s</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spacing w:beforeLines="50" w:line="360" w:lineRule="auto"/>
        <w:ind w:firstLine="536" w:firstLineChars="200"/>
        <w:rPr>
          <w:rFonts w:asciiTheme="minorEastAsia" w:hAnsiTheme="minorEastAsia" w:cstheme="minorEastAsia"/>
          <w:spacing w:val="-6"/>
          <w:sz w:val="28"/>
          <w:szCs w:val="28"/>
        </w:rPr>
      </w:pPr>
      <w:r>
        <w:rPr>
          <w:rFonts w:hint="eastAsia" w:asciiTheme="minorEastAsia" w:hAnsiTheme="minorEastAsia" w:cstheme="minorEastAsia"/>
          <w:spacing w:val="-6"/>
          <w:sz w:val="28"/>
          <w:szCs w:val="28"/>
        </w:rPr>
        <w:t>采用程序计算</w:t>
      </w:r>
      <w:r>
        <w:rPr>
          <w:rFonts w:hint="eastAsia" w:asciiTheme="minorEastAsia" w:hAnsiTheme="minorEastAsia" w:cstheme="minorEastAsia"/>
          <w:sz w:val="28"/>
          <w:szCs w:val="28"/>
        </w:rPr>
        <w:t>白湖村河道县河段划定的管理范围</w:t>
      </w:r>
      <w:r>
        <w:rPr>
          <w:rFonts w:hint="eastAsia" w:asciiTheme="minorEastAsia" w:hAnsiTheme="minorEastAsia" w:cstheme="minorEastAsia"/>
          <w:spacing w:val="-6"/>
          <w:sz w:val="28"/>
          <w:szCs w:val="28"/>
        </w:rPr>
        <w:t>各个断面的设计洪水位，计算结果见表1。</w:t>
      </w:r>
    </w:p>
    <w:p>
      <w:pPr>
        <w:snapToGrid w:val="0"/>
        <w:spacing w:beforeLines="50" w:line="360" w:lineRule="auto"/>
        <w:rPr>
          <w:rFonts w:ascii="Times New Roman" w:hAnsi="Times New Roman" w:eastAsia="宋体" w:cs="Times New Roman"/>
          <w:b/>
          <w:szCs w:val="21"/>
        </w:rPr>
      </w:pPr>
    </w:p>
    <w:p>
      <w:pPr>
        <w:snapToGrid w:val="0"/>
        <w:spacing w:beforeLines="50" w:line="360" w:lineRule="auto"/>
        <w:rPr>
          <w:rFonts w:ascii="Times New Roman" w:hAnsi="Times New Roman" w:eastAsia="宋体" w:cs="Times New Roman"/>
          <w:b/>
          <w:szCs w:val="21"/>
        </w:rPr>
      </w:pPr>
    </w:p>
    <w:p>
      <w:pPr>
        <w:snapToGrid w:val="0"/>
        <w:spacing w:beforeLines="50" w:line="360" w:lineRule="auto"/>
        <w:rPr>
          <w:rFonts w:ascii="Times New Roman" w:hAnsi="Times New Roman" w:eastAsia="宋体" w:cs="Times New Roman"/>
          <w:b/>
          <w:szCs w:val="21"/>
        </w:rPr>
      </w:pPr>
    </w:p>
    <w:p>
      <w:pPr>
        <w:snapToGrid w:val="0"/>
        <w:spacing w:beforeLines="50" w:line="360" w:lineRule="auto"/>
        <w:rPr>
          <w:rFonts w:ascii="Times New Roman" w:hAnsi="Times New Roman" w:eastAsia="宋体" w:cs="Times New Roman"/>
          <w:b/>
          <w:szCs w:val="21"/>
        </w:rPr>
      </w:pPr>
    </w:p>
    <w:p>
      <w:pPr>
        <w:snapToGrid w:val="0"/>
        <w:spacing w:beforeLines="50" w:line="360" w:lineRule="auto"/>
        <w:rPr>
          <w:rFonts w:ascii="Times New Roman" w:hAnsi="Times New Roman" w:eastAsia="宋体" w:cs="Times New Roman"/>
          <w:b/>
          <w:szCs w:val="21"/>
        </w:rPr>
      </w:pPr>
    </w:p>
    <w:p>
      <w:pPr>
        <w:snapToGrid w:val="0"/>
        <w:spacing w:beforeLines="50" w:line="360" w:lineRule="auto"/>
        <w:rPr>
          <w:rFonts w:ascii="Times New Roman" w:hAnsi="Times New Roman" w:eastAsia="宋体" w:cs="Times New Roman"/>
          <w:b/>
          <w:szCs w:val="21"/>
        </w:rPr>
      </w:pPr>
    </w:p>
    <w:p>
      <w:pPr>
        <w:snapToGrid w:val="0"/>
        <w:spacing w:beforeLines="50" w:line="360" w:lineRule="auto"/>
        <w:rPr>
          <w:rFonts w:ascii="Times New Roman" w:hAnsi="Times New Roman" w:eastAsia="宋体" w:cs="Times New Roman"/>
          <w:b/>
          <w:szCs w:val="21"/>
        </w:rPr>
      </w:pPr>
      <w:r>
        <w:rPr>
          <w:rFonts w:ascii="Times New Roman" w:hAnsi="Times New Roman" w:eastAsia="宋体" w:cs="Times New Roman"/>
          <w:b/>
          <w:szCs w:val="21"/>
        </w:rPr>
        <w:t>表-</w:t>
      </w:r>
      <w:r>
        <w:rPr>
          <w:rFonts w:hint="eastAsia" w:cs="Times New Roman"/>
          <w:b/>
          <w:szCs w:val="21"/>
        </w:rPr>
        <w:t xml:space="preserve">1                 </w:t>
      </w:r>
      <w:r>
        <w:rPr>
          <w:rFonts w:hint="eastAsia" w:cs="Times New Roman"/>
          <w:b/>
          <w:sz w:val="24"/>
          <w:szCs w:val="24"/>
        </w:rPr>
        <w:t>白湖村河道县</w:t>
      </w:r>
      <w:r>
        <w:rPr>
          <w:rFonts w:hint="eastAsia" w:ascii="Times New Roman" w:hAnsi="Times New Roman" w:eastAsia="宋体" w:cs="Times New Roman"/>
          <w:b/>
          <w:sz w:val="24"/>
          <w:szCs w:val="24"/>
        </w:rPr>
        <w:t>段</w:t>
      </w:r>
      <w:r>
        <w:rPr>
          <w:rFonts w:hint="eastAsia" w:cs="Times New Roman"/>
          <w:b/>
          <w:sz w:val="24"/>
          <w:szCs w:val="24"/>
        </w:rPr>
        <w:t>设计洪水位成果表</w:t>
      </w:r>
    </w:p>
    <w:tbl>
      <w:tblPr>
        <w:tblStyle w:val="22"/>
        <w:tblW w:w="8318" w:type="dxa"/>
        <w:tblInd w:w="0" w:type="dxa"/>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Layout w:type="fixed"/>
        <w:tblCellMar>
          <w:top w:w="0" w:type="dxa"/>
          <w:left w:w="0" w:type="dxa"/>
          <w:bottom w:w="0" w:type="dxa"/>
          <w:right w:w="0" w:type="dxa"/>
        </w:tblCellMar>
      </w:tblPr>
      <w:tblGrid>
        <w:gridCol w:w="1284"/>
        <w:gridCol w:w="1783"/>
        <w:gridCol w:w="1284"/>
        <w:gridCol w:w="1284"/>
        <w:gridCol w:w="1284"/>
        <w:gridCol w:w="1399"/>
      </w:tblGrid>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28" w:hRule="atLeast"/>
        </w:trPr>
        <w:tc>
          <w:tcPr>
            <w:tcW w:w="1284" w:type="dxa"/>
            <w:vMerge w:val="restart"/>
            <w:tcBorders>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断面编号</w:t>
            </w:r>
          </w:p>
        </w:tc>
        <w:tc>
          <w:tcPr>
            <w:tcW w:w="1783"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地名</w:t>
            </w:r>
          </w:p>
        </w:tc>
        <w:tc>
          <w:tcPr>
            <w:tcW w:w="1284"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间距(m)</w:t>
            </w:r>
          </w:p>
        </w:tc>
        <w:tc>
          <w:tcPr>
            <w:tcW w:w="1284"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累距(m)</w:t>
            </w:r>
          </w:p>
        </w:tc>
        <w:tc>
          <w:tcPr>
            <w:tcW w:w="1284"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设计洪水标准</w:t>
            </w:r>
          </w:p>
        </w:tc>
        <w:tc>
          <w:tcPr>
            <w:tcW w:w="1399" w:type="dxa"/>
            <w:vMerge w:val="restart"/>
            <w:tcBorders>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10年一遇设计洪水位</w:t>
            </w:r>
            <w:r>
              <w:rPr>
                <w:rFonts w:ascii="Times New Roman" w:hAnsi="Times New Roman" w:eastAsia="宋体" w:cs="Times New Roman"/>
                <w:color w:val="000000"/>
                <w:kern w:val="0"/>
                <w:szCs w:val="21"/>
              </w:rPr>
              <w:t>(m)</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7" w:hRule="atLeast"/>
        </w:trPr>
        <w:tc>
          <w:tcPr>
            <w:tcW w:w="1284" w:type="dxa"/>
            <w:vMerge w:val="continue"/>
            <w:tcBorders>
              <w:top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783"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28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28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28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99" w:type="dxa"/>
            <w:vMerge w:val="continue"/>
            <w:tcBorders>
              <w:top w:val="single" w:color="000000" w:sz="4" w:space="0"/>
              <w:left w:val="single" w:color="000000" w:sz="4" w:space="0"/>
              <w:bottom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CS01</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致福村</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193.76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CS02</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193.95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CS03</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郑家</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501</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1001</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194.16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CS04</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1501</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194.43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CS05</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498</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1999</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195.74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CS06</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土坝头</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501</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2500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197.39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CS07</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198.51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CS08</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狮子形</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3500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199.91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CS09</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201.62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4500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203.10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麦山洞</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203.32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CS12</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县界</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402</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5402</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203.74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CS13</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神湾（县界）</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1120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themeColor="text1"/>
                <w:szCs w:val="21"/>
              </w:rPr>
            </w:pPr>
            <w:r>
              <w:rPr>
                <w:rFonts w:ascii="Times New Roman" w:hAnsi="Times New Roman" w:eastAsia="宋体" w:cs="Times New Roman"/>
                <w:color w:val="000000" w:themeColor="text1"/>
                <w:kern w:val="0"/>
                <w:szCs w:val="21"/>
              </w:rPr>
              <w:t>6522</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208.47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63"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CS14</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 w:val="24"/>
                <w:szCs w:val="24"/>
              </w:rPr>
            </w:pP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themeColor="text1"/>
                <w:szCs w:val="21"/>
              </w:rPr>
            </w:pPr>
            <w:r>
              <w:rPr>
                <w:rFonts w:ascii="Times New Roman" w:hAnsi="Times New Roman" w:eastAsia="宋体" w:cs="Times New Roman"/>
                <w:color w:val="000000" w:themeColor="text1"/>
                <w:kern w:val="0"/>
                <w:szCs w:val="21"/>
              </w:rPr>
              <w:t>7022</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210.55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CS15</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杨家桥</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themeColor="text1"/>
                <w:szCs w:val="21"/>
              </w:rPr>
            </w:pPr>
            <w:r>
              <w:rPr>
                <w:rFonts w:ascii="Times New Roman" w:hAnsi="Times New Roman" w:eastAsia="宋体" w:cs="Times New Roman"/>
                <w:color w:val="000000" w:themeColor="text1"/>
                <w:kern w:val="0"/>
                <w:szCs w:val="21"/>
              </w:rPr>
              <w:t>7522</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212.05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CS16</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themeColor="text1"/>
                <w:szCs w:val="21"/>
              </w:rPr>
            </w:pPr>
            <w:r>
              <w:rPr>
                <w:rFonts w:ascii="Times New Roman" w:hAnsi="Times New Roman" w:eastAsia="宋体" w:cs="Times New Roman"/>
                <w:color w:val="000000" w:themeColor="text1"/>
                <w:kern w:val="0"/>
                <w:szCs w:val="21"/>
              </w:rPr>
              <w:t>8022</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214.28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CS17</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themeColor="text1"/>
                <w:szCs w:val="21"/>
              </w:rPr>
            </w:pPr>
            <w:r>
              <w:rPr>
                <w:rFonts w:ascii="Times New Roman" w:hAnsi="Times New Roman" w:eastAsia="宋体" w:cs="Times New Roman"/>
                <w:color w:val="000000" w:themeColor="text1"/>
                <w:kern w:val="0"/>
                <w:szCs w:val="21"/>
              </w:rPr>
              <w:t>8522</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215.58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CS18</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东宅</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themeColor="text1"/>
                <w:szCs w:val="21"/>
              </w:rPr>
            </w:pPr>
            <w:r>
              <w:rPr>
                <w:rFonts w:ascii="Times New Roman" w:hAnsi="Times New Roman" w:eastAsia="宋体" w:cs="Times New Roman"/>
                <w:color w:val="000000" w:themeColor="text1"/>
                <w:kern w:val="0"/>
                <w:szCs w:val="21"/>
              </w:rPr>
              <w:t>9022</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217.57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CS19</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themeColor="text1"/>
                <w:szCs w:val="21"/>
              </w:rPr>
            </w:pPr>
            <w:r>
              <w:rPr>
                <w:rFonts w:ascii="Times New Roman" w:hAnsi="Times New Roman" w:eastAsia="宋体" w:cs="Times New Roman"/>
                <w:color w:val="000000" w:themeColor="text1"/>
                <w:kern w:val="0"/>
                <w:szCs w:val="21"/>
              </w:rPr>
              <w:t>9522</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219.90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95"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CS20</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526</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themeColor="text1"/>
                <w:szCs w:val="21"/>
              </w:rPr>
            </w:pPr>
            <w:r>
              <w:rPr>
                <w:rFonts w:ascii="Times New Roman" w:hAnsi="Times New Roman" w:eastAsia="宋体" w:cs="Times New Roman"/>
                <w:color w:val="000000" w:themeColor="text1"/>
                <w:kern w:val="0"/>
                <w:szCs w:val="21"/>
              </w:rPr>
              <w:t>10048</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221.49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81" w:hRule="atLeast"/>
        </w:trPr>
        <w:tc>
          <w:tcPr>
            <w:tcW w:w="1284"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CS21</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474</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themeColor="text1"/>
                <w:szCs w:val="21"/>
              </w:rPr>
            </w:pPr>
            <w:r>
              <w:rPr>
                <w:rFonts w:ascii="Times New Roman" w:hAnsi="Times New Roman" w:eastAsia="宋体" w:cs="Times New Roman"/>
                <w:color w:val="000000" w:themeColor="text1"/>
                <w:kern w:val="0"/>
                <w:szCs w:val="21"/>
              </w:rPr>
              <w:t>10522</w:t>
            </w:r>
          </w:p>
        </w:tc>
        <w:tc>
          <w:tcPr>
            <w:tcW w:w="12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223.28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34" w:hRule="atLeast"/>
        </w:trPr>
        <w:tc>
          <w:tcPr>
            <w:tcW w:w="1284" w:type="dxa"/>
            <w:tcBorders>
              <w:top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CS22</w:t>
            </w:r>
          </w:p>
        </w:tc>
        <w:tc>
          <w:tcPr>
            <w:tcW w:w="1783"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兴龙洞</w:t>
            </w:r>
          </w:p>
        </w:tc>
        <w:tc>
          <w:tcPr>
            <w:tcW w:w="1284"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242</w:t>
            </w:r>
          </w:p>
        </w:tc>
        <w:tc>
          <w:tcPr>
            <w:tcW w:w="1284"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themeColor="text1"/>
                <w:szCs w:val="21"/>
              </w:rPr>
            </w:pPr>
            <w:r>
              <w:rPr>
                <w:rFonts w:ascii="Times New Roman" w:hAnsi="Times New Roman" w:eastAsia="宋体" w:cs="Times New Roman"/>
                <w:color w:val="000000" w:themeColor="text1"/>
                <w:kern w:val="0"/>
                <w:szCs w:val="21"/>
              </w:rPr>
              <w:t>10764</w:t>
            </w:r>
          </w:p>
        </w:tc>
        <w:tc>
          <w:tcPr>
            <w:tcW w:w="1284"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399" w:type="dxa"/>
            <w:tcBorders>
              <w:top w:val="single" w:color="000000" w:sz="4" w:space="0"/>
              <w:lef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224.76 </w:t>
            </w:r>
          </w:p>
        </w:tc>
      </w:tr>
    </w:tbl>
    <w:p>
      <w:pPr>
        <w:pStyle w:val="4"/>
        <w:ind w:left="0" w:firstLine="0"/>
      </w:pPr>
      <w:bookmarkStart w:id="6" w:name="_Toc24976"/>
      <w:bookmarkStart w:id="7" w:name="_Toc15228264"/>
      <w:bookmarkStart w:id="8" w:name="_Hlk534276517"/>
      <w:r>
        <w:rPr>
          <w:rFonts w:hint="eastAsia"/>
        </w:rPr>
        <w:t>河段岸线情况</w:t>
      </w:r>
      <w:bookmarkEnd w:id="6"/>
      <w:bookmarkEnd w:id="7"/>
    </w:p>
    <w:p>
      <w:pPr>
        <w:pStyle w:val="41"/>
        <w:ind w:firstLine="560"/>
      </w:pPr>
      <w:r>
        <w:rPr>
          <w:rFonts w:hint="eastAsia"/>
        </w:rPr>
        <w:t>白湖村河道县</w:t>
      </w:r>
      <w:r>
        <w:rPr>
          <w:rFonts w:hint="eastAsia"/>
          <w:color w:val="000000" w:themeColor="text1"/>
        </w:rPr>
        <w:t>河段河道未做河</w:t>
      </w:r>
      <w:r>
        <w:rPr>
          <w:rFonts w:hint="eastAsia"/>
        </w:rPr>
        <w:t>道规划治理，均为天然河道。具体情况见下表2。</w:t>
      </w:r>
    </w:p>
    <w:p>
      <w:pPr>
        <w:pStyle w:val="41"/>
        <w:ind w:firstLine="560"/>
      </w:pPr>
    </w:p>
    <w:p>
      <w:pPr>
        <w:pStyle w:val="41"/>
        <w:ind w:firstLine="560"/>
      </w:pPr>
    </w:p>
    <w:p>
      <w:pPr>
        <w:pStyle w:val="41"/>
        <w:ind w:firstLine="560"/>
      </w:pPr>
    </w:p>
    <w:p>
      <w:pPr>
        <w:jc w:val="left"/>
        <w:rPr>
          <w:b/>
        </w:rPr>
      </w:pPr>
    </w:p>
    <w:p>
      <w:pPr>
        <w:jc w:val="left"/>
        <w:rPr>
          <w:b/>
        </w:rPr>
      </w:pPr>
      <w:r>
        <w:rPr>
          <w:rFonts w:hint="eastAsia"/>
          <w:b/>
        </w:rPr>
        <w:t>表2                         白湖村河道县河段岸线情况</w:t>
      </w:r>
    </w:p>
    <w:tbl>
      <w:tblPr>
        <w:tblStyle w:val="23"/>
        <w:tblW w:w="8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1"/>
        <w:gridCol w:w="713"/>
        <w:gridCol w:w="1006"/>
        <w:gridCol w:w="710"/>
        <w:gridCol w:w="1024"/>
        <w:gridCol w:w="390"/>
        <w:gridCol w:w="702"/>
        <w:gridCol w:w="702"/>
        <w:gridCol w:w="702"/>
        <w:gridCol w:w="392"/>
        <w:gridCol w:w="651"/>
        <w:gridCol w:w="696"/>
        <w:gridCol w:w="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391" w:type="dxa"/>
            <w:vMerge w:val="restart"/>
            <w:vAlign w:val="center"/>
          </w:tcPr>
          <w:p>
            <w:pPr>
              <w:pStyle w:val="41"/>
              <w:ind w:firstLine="0" w:firstLineChars="0"/>
              <w:jc w:val="center"/>
              <w:rPr>
                <w:sz w:val="21"/>
                <w:szCs w:val="21"/>
              </w:rPr>
            </w:pPr>
            <w:r>
              <w:rPr>
                <w:rFonts w:hint="eastAsia"/>
                <w:sz w:val="21"/>
                <w:szCs w:val="21"/>
              </w:rPr>
              <w:t>岸别</w:t>
            </w:r>
          </w:p>
        </w:tc>
        <w:tc>
          <w:tcPr>
            <w:tcW w:w="1719" w:type="dxa"/>
            <w:gridSpan w:val="2"/>
            <w:vAlign w:val="center"/>
          </w:tcPr>
          <w:p>
            <w:pPr>
              <w:pStyle w:val="41"/>
              <w:ind w:firstLine="0" w:firstLineChars="0"/>
              <w:jc w:val="center"/>
              <w:rPr>
                <w:sz w:val="21"/>
                <w:szCs w:val="21"/>
              </w:rPr>
            </w:pPr>
            <w:r>
              <w:rPr>
                <w:rFonts w:hint="eastAsia"/>
                <w:sz w:val="21"/>
                <w:szCs w:val="21"/>
              </w:rPr>
              <w:t>起点</w:t>
            </w:r>
          </w:p>
        </w:tc>
        <w:tc>
          <w:tcPr>
            <w:tcW w:w="1734" w:type="dxa"/>
            <w:gridSpan w:val="2"/>
            <w:vAlign w:val="center"/>
          </w:tcPr>
          <w:p>
            <w:pPr>
              <w:pStyle w:val="41"/>
              <w:ind w:firstLine="0" w:firstLineChars="0"/>
              <w:jc w:val="center"/>
              <w:rPr>
                <w:sz w:val="21"/>
                <w:szCs w:val="21"/>
              </w:rPr>
            </w:pPr>
            <w:r>
              <w:rPr>
                <w:rFonts w:hint="eastAsia"/>
                <w:sz w:val="21"/>
                <w:szCs w:val="21"/>
              </w:rPr>
              <w:t>终点</w:t>
            </w:r>
          </w:p>
        </w:tc>
        <w:tc>
          <w:tcPr>
            <w:tcW w:w="2888" w:type="dxa"/>
            <w:gridSpan w:val="5"/>
            <w:vAlign w:val="center"/>
          </w:tcPr>
          <w:p>
            <w:pPr>
              <w:pStyle w:val="41"/>
              <w:ind w:firstLine="0" w:firstLineChars="0"/>
              <w:jc w:val="center"/>
              <w:rPr>
                <w:sz w:val="21"/>
                <w:szCs w:val="21"/>
              </w:rPr>
            </w:pPr>
            <w:r>
              <w:rPr>
                <w:rFonts w:hint="eastAsia"/>
                <w:sz w:val="21"/>
                <w:szCs w:val="21"/>
              </w:rPr>
              <w:t>有堤防</w:t>
            </w:r>
          </w:p>
        </w:tc>
        <w:tc>
          <w:tcPr>
            <w:tcW w:w="1347" w:type="dxa"/>
            <w:gridSpan w:val="2"/>
            <w:vAlign w:val="center"/>
          </w:tcPr>
          <w:p>
            <w:pPr>
              <w:pStyle w:val="41"/>
              <w:ind w:firstLine="0" w:firstLineChars="0"/>
              <w:jc w:val="center"/>
              <w:rPr>
                <w:sz w:val="21"/>
                <w:szCs w:val="21"/>
              </w:rPr>
            </w:pPr>
            <w:r>
              <w:rPr>
                <w:rFonts w:hint="eastAsia"/>
                <w:sz w:val="21"/>
                <w:szCs w:val="21"/>
              </w:rPr>
              <w:t>无堤防</w:t>
            </w:r>
          </w:p>
        </w:tc>
        <w:tc>
          <w:tcPr>
            <w:tcW w:w="532" w:type="dxa"/>
            <w:vAlign w:val="center"/>
          </w:tcPr>
          <w:p>
            <w:pPr>
              <w:pStyle w:val="41"/>
              <w:ind w:firstLine="0" w:firstLineChars="0"/>
              <w:jc w:val="center"/>
              <w:rPr>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391" w:type="dxa"/>
            <w:vMerge w:val="continue"/>
            <w:vAlign w:val="center"/>
          </w:tcPr>
          <w:p>
            <w:pPr>
              <w:pStyle w:val="41"/>
              <w:ind w:firstLine="0" w:firstLineChars="0"/>
              <w:jc w:val="center"/>
              <w:rPr>
                <w:sz w:val="21"/>
                <w:szCs w:val="21"/>
              </w:rPr>
            </w:pPr>
          </w:p>
        </w:tc>
        <w:tc>
          <w:tcPr>
            <w:tcW w:w="713" w:type="dxa"/>
            <w:vAlign w:val="center"/>
          </w:tcPr>
          <w:p>
            <w:pPr>
              <w:pStyle w:val="41"/>
              <w:ind w:firstLine="0" w:firstLineChars="0"/>
              <w:jc w:val="center"/>
              <w:rPr>
                <w:sz w:val="21"/>
                <w:szCs w:val="21"/>
              </w:rPr>
            </w:pPr>
            <w:r>
              <w:rPr>
                <w:rFonts w:hint="eastAsia"/>
                <w:sz w:val="21"/>
                <w:szCs w:val="21"/>
              </w:rPr>
              <w:t>河道里程数</w:t>
            </w:r>
          </w:p>
          <w:p>
            <w:pPr>
              <w:pStyle w:val="41"/>
              <w:ind w:firstLine="0" w:firstLineChars="0"/>
              <w:jc w:val="center"/>
              <w:rPr>
                <w:sz w:val="21"/>
                <w:szCs w:val="21"/>
              </w:rPr>
            </w:pPr>
            <w:r>
              <w:rPr>
                <w:rFonts w:hint="eastAsia"/>
                <w:sz w:val="21"/>
                <w:szCs w:val="21"/>
              </w:rPr>
              <w:t>(km)</w:t>
            </w:r>
          </w:p>
        </w:tc>
        <w:tc>
          <w:tcPr>
            <w:tcW w:w="1006" w:type="dxa"/>
            <w:vAlign w:val="center"/>
          </w:tcPr>
          <w:p>
            <w:pPr>
              <w:pStyle w:val="41"/>
              <w:ind w:firstLine="0" w:firstLineChars="0"/>
              <w:jc w:val="center"/>
              <w:rPr>
                <w:sz w:val="21"/>
                <w:szCs w:val="21"/>
              </w:rPr>
            </w:pPr>
            <w:r>
              <w:rPr>
                <w:rFonts w:hint="eastAsia"/>
                <w:sz w:val="21"/>
                <w:szCs w:val="21"/>
              </w:rPr>
              <w:t>点位坐标</w:t>
            </w:r>
          </w:p>
        </w:tc>
        <w:tc>
          <w:tcPr>
            <w:tcW w:w="710" w:type="dxa"/>
            <w:vAlign w:val="center"/>
          </w:tcPr>
          <w:p>
            <w:pPr>
              <w:pStyle w:val="41"/>
              <w:ind w:firstLine="0" w:firstLineChars="0"/>
              <w:jc w:val="center"/>
              <w:rPr>
                <w:sz w:val="21"/>
                <w:szCs w:val="21"/>
              </w:rPr>
            </w:pPr>
            <w:r>
              <w:rPr>
                <w:rFonts w:hint="eastAsia"/>
                <w:sz w:val="21"/>
                <w:szCs w:val="21"/>
              </w:rPr>
              <w:t>河道里程数</w:t>
            </w:r>
          </w:p>
          <w:p>
            <w:pPr>
              <w:pStyle w:val="41"/>
              <w:ind w:firstLine="0" w:firstLineChars="0"/>
              <w:jc w:val="center"/>
              <w:rPr>
                <w:sz w:val="21"/>
                <w:szCs w:val="21"/>
              </w:rPr>
            </w:pPr>
            <w:r>
              <w:rPr>
                <w:rFonts w:hint="eastAsia"/>
                <w:sz w:val="21"/>
                <w:szCs w:val="21"/>
              </w:rPr>
              <w:t>(km)</w:t>
            </w:r>
          </w:p>
        </w:tc>
        <w:tc>
          <w:tcPr>
            <w:tcW w:w="1024" w:type="dxa"/>
            <w:vAlign w:val="center"/>
          </w:tcPr>
          <w:p>
            <w:pPr>
              <w:pStyle w:val="41"/>
              <w:ind w:firstLine="0" w:firstLineChars="0"/>
              <w:jc w:val="center"/>
              <w:rPr>
                <w:sz w:val="21"/>
                <w:szCs w:val="21"/>
              </w:rPr>
            </w:pPr>
            <w:r>
              <w:rPr>
                <w:rFonts w:hint="eastAsia"/>
                <w:sz w:val="21"/>
                <w:szCs w:val="21"/>
              </w:rPr>
              <w:t>点位坐标</w:t>
            </w:r>
          </w:p>
        </w:tc>
        <w:tc>
          <w:tcPr>
            <w:tcW w:w="390" w:type="dxa"/>
            <w:vAlign w:val="center"/>
          </w:tcPr>
          <w:p>
            <w:pPr>
              <w:pStyle w:val="41"/>
              <w:ind w:firstLine="0" w:firstLineChars="0"/>
              <w:jc w:val="center"/>
              <w:rPr>
                <w:sz w:val="21"/>
                <w:szCs w:val="21"/>
              </w:rPr>
            </w:pPr>
            <w:r>
              <w:rPr>
                <w:rFonts w:hint="eastAsia"/>
                <w:sz w:val="21"/>
                <w:szCs w:val="21"/>
              </w:rPr>
              <w:t>堤防等级</w:t>
            </w:r>
          </w:p>
        </w:tc>
        <w:tc>
          <w:tcPr>
            <w:tcW w:w="702" w:type="dxa"/>
            <w:vAlign w:val="center"/>
          </w:tcPr>
          <w:p>
            <w:pPr>
              <w:pStyle w:val="41"/>
              <w:ind w:firstLine="0" w:firstLineChars="0"/>
              <w:jc w:val="center"/>
              <w:rPr>
                <w:sz w:val="21"/>
                <w:szCs w:val="21"/>
              </w:rPr>
            </w:pPr>
            <w:r>
              <w:rPr>
                <w:rFonts w:hint="eastAsia"/>
                <w:sz w:val="21"/>
                <w:szCs w:val="21"/>
              </w:rPr>
              <w:t>长度</w:t>
            </w:r>
          </w:p>
          <w:p>
            <w:pPr>
              <w:pStyle w:val="41"/>
              <w:ind w:firstLine="0" w:firstLineChars="0"/>
              <w:jc w:val="center"/>
              <w:rPr>
                <w:sz w:val="21"/>
                <w:szCs w:val="21"/>
              </w:rPr>
            </w:pPr>
            <w:r>
              <w:rPr>
                <w:rFonts w:hint="eastAsia"/>
                <w:sz w:val="21"/>
                <w:szCs w:val="21"/>
              </w:rPr>
              <w:t>（km）</w:t>
            </w:r>
          </w:p>
        </w:tc>
        <w:tc>
          <w:tcPr>
            <w:tcW w:w="702" w:type="dxa"/>
            <w:vAlign w:val="center"/>
          </w:tcPr>
          <w:p>
            <w:pPr>
              <w:pStyle w:val="41"/>
              <w:ind w:firstLine="0" w:firstLineChars="0"/>
              <w:jc w:val="center"/>
              <w:rPr>
                <w:sz w:val="21"/>
                <w:szCs w:val="21"/>
              </w:rPr>
            </w:pPr>
            <w:r>
              <w:rPr>
                <w:rFonts w:hint="eastAsia"/>
                <w:sz w:val="21"/>
                <w:szCs w:val="21"/>
              </w:rPr>
              <w:t>堤顶高程</w:t>
            </w:r>
          </w:p>
          <w:p>
            <w:pPr>
              <w:pStyle w:val="41"/>
              <w:ind w:firstLine="0" w:firstLineChars="0"/>
              <w:jc w:val="center"/>
              <w:rPr>
                <w:sz w:val="21"/>
                <w:szCs w:val="21"/>
              </w:rPr>
            </w:pPr>
            <w:r>
              <w:rPr>
                <w:rFonts w:hint="eastAsia"/>
                <w:sz w:val="21"/>
                <w:szCs w:val="21"/>
              </w:rPr>
              <w:t>（m）</w:t>
            </w:r>
          </w:p>
        </w:tc>
        <w:tc>
          <w:tcPr>
            <w:tcW w:w="702" w:type="dxa"/>
            <w:vAlign w:val="center"/>
          </w:tcPr>
          <w:p>
            <w:pPr>
              <w:pStyle w:val="41"/>
              <w:ind w:firstLine="0" w:firstLineChars="0"/>
              <w:jc w:val="center"/>
              <w:rPr>
                <w:sz w:val="21"/>
                <w:szCs w:val="21"/>
              </w:rPr>
            </w:pPr>
            <w:r>
              <w:rPr>
                <w:rFonts w:hint="eastAsia"/>
                <w:sz w:val="21"/>
                <w:szCs w:val="21"/>
              </w:rPr>
              <w:t>堤顶宽度（m）</w:t>
            </w:r>
          </w:p>
        </w:tc>
        <w:tc>
          <w:tcPr>
            <w:tcW w:w="392" w:type="dxa"/>
            <w:vAlign w:val="center"/>
          </w:tcPr>
          <w:p>
            <w:pPr>
              <w:pStyle w:val="41"/>
              <w:ind w:firstLine="0" w:firstLineChars="0"/>
              <w:jc w:val="center"/>
              <w:rPr>
                <w:sz w:val="21"/>
                <w:szCs w:val="21"/>
              </w:rPr>
            </w:pPr>
            <w:r>
              <w:rPr>
                <w:rFonts w:hint="eastAsia"/>
                <w:sz w:val="21"/>
                <w:szCs w:val="21"/>
              </w:rPr>
              <w:t>是否达标</w:t>
            </w:r>
          </w:p>
        </w:tc>
        <w:tc>
          <w:tcPr>
            <w:tcW w:w="651" w:type="dxa"/>
            <w:vAlign w:val="center"/>
          </w:tcPr>
          <w:p>
            <w:pPr>
              <w:pStyle w:val="41"/>
              <w:ind w:firstLine="0" w:firstLineChars="0"/>
              <w:jc w:val="center"/>
              <w:rPr>
                <w:sz w:val="21"/>
                <w:szCs w:val="21"/>
              </w:rPr>
            </w:pPr>
            <w:r>
              <w:rPr>
                <w:rFonts w:hint="eastAsia"/>
                <w:sz w:val="21"/>
                <w:szCs w:val="21"/>
              </w:rPr>
              <w:t>长度（km）</w:t>
            </w:r>
          </w:p>
        </w:tc>
        <w:tc>
          <w:tcPr>
            <w:tcW w:w="696" w:type="dxa"/>
            <w:vAlign w:val="center"/>
          </w:tcPr>
          <w:p>
            <w:pPr>
              <w:pStyle w:val="41"/>
              <w:ind w:firstLine="0" w:firstLineChars="0"/>
              <w:jc w:val="center"/>
              <w:rPr>
                <w:sz w:val="21"/>
                <w:szCs w:val="21"/>
              </w:rPr>
            </w:pPr>
            <w:r>
              <w:rPr>
                <w:rFonts w:hint="eastAsia"/>
                <w:sz w:val="21"/>
                <w:szCs w:val="21"/>
              </w:rPr>
              <w:t>地面高程（m）</w:t>
            </w:r>
          </w:p>
        </w:tc>
        <w:tc>
          <w:tcPr>
            <w:tcW w:w="532" w:type="dxa"/>
            <w:vAlign w:val="center"/>
          </w:tcPr>
          <w:p>
            <w:pPr>
              <w:pStyle w:val="41"/>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391" w:type="dxa"/>
            <w:vMerge w:val="restart"/>
            <w:vAlign w:val="center"/>
          </w:tcPr>
          <w:p>
            <w:pPr>
              <w:pStyle w:val="41"/>
              <w:ind w:firstLine="0" w:firstLineChars="0"/>
              <w:rPr>
                <w:sz w:val="21"/>
                <w:szCs w:val="21"/>
              </w:rPr>
            </w:pPr>
            <w:r>
              <w:rPr>
                <w:rFonts w:hint="eastAsia"/>
                <w:sz w:val="21"/>
                <w:szCs w:val="21"/>
              </w:rPr>
              <w:t>左岸</w:t>
            </w:r>
          </w:p>
        </w:tc>
        <w:tc>
          <w:tcPr>
            <w:tcW w:w="713" w:type="dxa"/>
            <w:vAlign w:val="center"/>
          </w:tcPr>
          <w:p>
            <w:pPr>
              <w:pStyle w:val="41"/>
              <w:ind w:firstLine="0" w:firstLineChars="0"/>
              <w:jc w:val="center"/>
              <w:rPr>
                <w:sz w:val="15"/>
                <w:szCs w:val="15"/>
              </w:rPr>
            </w:pPr>
            <w:r>
              <w:rPr>
                <w:rFonts w:hint="eastAsia"/>
                <w:sz w:val="15"/>
                <w:szCs w:val="15"/>
              </w:rPr>
              <w:t>0</w:t>
            </w:r>
          </w:p>
        </w:tc>
        <w:tc>
          <w:tcPr>
            <w:tcW w:w="1006" w:type="dxa"/>
            <w:vAlign w:val="center"/>
          </w:tcPr>
          <w:p>
            <w:pPr>
              <w:pStyle w:val="41"/>
              <w:ind w:firstLine="0" w:firstLineChars="0"/>
              <w:jc w:val="center"/>
              <w:rPr>
                <w:color w:val="000000" w:themeColor="text1"/>
                <w:sz w:val="15"/>
                <w:szCs w:val="15"/>
              </w:rPr>
            </w:pPr>
            <w:r>
              <w:rPr>
                <w:rFonts w:hint="eastAsia"/>
                <w:color w:val="000000" w:themeColor="text1"/>
                <w:sz w:val="15"/>
                <w:szCs w:val="15"/>
              </w:rPr>
              <w:t>2809160.91，550153.04</w:t>
            </w:r>
          </w:p>
        </w:tc>
        <w:tc>
          <w:tcPr>
            <w:tcW w:w="710" w:type="dxa"/>
            <w:vAlign w:val="center"/>
          </w:tcPr>
          <w:p>
            <w:pPr>
              <w:pStyle w:val="41"/>
              <w:ind w:firstLine="0" w:firstLineChars="0"/>
              <w:jc w:val="center"/>
              <w:rPr>
                <w:rFonts w:hint="default" w:eastAsiaTheme="minorEastAsia"/>
                <w:sz w:val="15"/>
                <w:szCs w:val="15"/>
                <w:lang w:val="en-US" w:eastAsia="zh-CN"/>
              </w:rPr>
            </w:pPr>
            <w:r>
              <w:rPr>
                <w:rFonts w:hint="eastAsia"/>
                <w:sz w:val="15"/>
                <w:szCs w:val="15"/>
              </w:rPr>
              <w:t>5.</w:t>
            </w:r>
            <w:r>
              <w:rPr>
                <w:rFonts w:hint="eastAsia"/>
                <w:sz w:val="15"/>
                <w:szCs w:val="15"/>
                <w:lang w:val="en-US" w:eastAsia="zh-CN"/>
              </w:rPr>
              <w:t>40</w:t>
            </w:r>
          </w:p>
        </w:tc>
        <w:tc>
          <w:tcPr>
            <w:tcW w:w="1024" w:type="dxa"/>
            <w:vAlign w:val="center"/>
          </w:tcPr>
          <w:p>
            <w:pPr>
              <w:pStyle w:val="41"/>
              <w:ind w:firstLine="0" w:firstLineChars="0"/>
              <w:jc w:val="center"/>
              <w:rPr>
                <w:rFonts w:hint="default" w:eastAsiaTheme="minorEastAsia"/>
                <w:color w:val="000000" w:themeColor="text1"/>
                <w:sz w:val="15"/>
                <w:szCs w:val="15"/>
                <w:lang w:val="en-US" w:eastAsia="zh-CN"/>
              </w:rPr>
            </w:pPr>
            <w:r>
              <w:rPr>
                <w:rFonts w:hint="eastAsia"/>
                <w:color w:val="000000" w:themeColor="text1"/>
                <w:sz w:val="15"/>
                <w:szCs w:val="15"/>
                <w:lang w:val="en-US" w:eastAsia="zh-CN"/>
              </w:rPr>
              <w:t>2805357.08,546930.73</w:t>
            </w:r>
          </w:p>
        </w:tc>
        <w:tc>
          <w:tcPr>
            <w:tcW w:w="390" w:type="dxa"/>
            <w:vAlign w:val="center"/>
          </w:tcPr>
          <w:p>
            <w:pPr>
              <w:pStyle w:val="41"/>
              <w:ind w:firstLine="0" w:firstLineChars="0"/>
              <w:jc w:val="center"/>
              <w:rPr>
                <w:sz w:val="15"/>
                <w:szCs w:val="15"/>
              </w:rPr>
            </w:pPr>
          </w:p>
        </w:tc>
        <w:tc>
          <w:tcPr>
            <w:tcW w:w="702" w:type="dxa"/>
            <w:vAlign w:val="center"/>
          </w:tcPr>
          <w:p>
            <w:pPr>
              <w:pStyle w:val="41"/>
              <w:ind w:firstLine="0" w:firstLineChars="0"/>
              <w:jc w:val="center"/>
              <w:rPr>
                <w:sz w:val="15"/>
                <w:szCs w:val="15"/>
              </w:rPr>
            </w:pPr>
          </w:p>
        </w:tc>
        <w:tc>
          <w:tcPr>
            <w:tcW w:w="702" w:type="dxa"/>
            <w:vAlign w:val="center"/>
          </w:tcPr>
          <w:p>
            <w:pPr>
              <w:pStyle w:val="41"/>
              <w:ind w:firstLine="0" w:firstLineChars="0"/>
              <w:jc w:val="center"/>
              <w:rPr>
                <w:sz w:val="15"/>
                <w:szCs w:val="15"/>
              </w:rPr>
            </w:pPr>
          </w:p>
        </w:tc>
        <w:tc>
          <w:tcPr>
            <w:tcW w:w="702" w:type="dxa"/>
            <w:vAlign w:val="center"/>
          </w:tcPr>
          <w:p>
            <w:pPr>
              <w:pStyle w:val="41"/>
              <w:ind w:firstLine="0" w:firstLineChars="0"/>
              <w:jc w:val="center"/>
              <w:rPr>
                <w:sz w:val="15"/>
                <w:szCs w:val="15"/>
              </w:rPr>
            </w:pPr>
          </w:p>
        </w:tc>
        <w:tc>
          <w:tcPr>
            <w:tcW w:w="392" w:type="dxa"/>
            <w:vAlign w:val="center"/>
          </w:tcPr>
          <w:p>
            <w:pPr>
              <w:pStyle w:val="41"/>
              <w:ind w:firstLine="0" w:firstLineChars="0"/>
              <w:jc w:val="center"/>
              <w:rPr>
                <w:sz w:val="15"/>
                <w:szCs w:val="15"/>
              </w:rPr>
            </w:pPr>
          </w:p>
        </w:tc>
        <w:tc>
          <w:tcPr>
            <w:tcW w:w="651" w:type="dxa"/>
            <w:vAlign w:val="center"/>
          </w:tcPr>
          <w:p>
            <w:pPr>
              <w:pStyle w:val="41"/>
              <w:ind w:firstLine="0" w:firstLineChars="0"/>
              <w:jc w:val="center"/>
              <w:rPr>
                <w:sz w:val="15"/>
                <w:szCs w:val="15"/>
              </w:rPr>
            </w:pPr>
            <w:r>
              <w:rPr>
                <w:rFonts w:hint="eastAsia"/>
                <w:sz w:val="15"/>
                <w:szCs w:val="15"/>
              </w:rPr>
              <w:t>5.</w:t>
            </w:r>
            <w:r>
              <w:rPr>
                <w:rFonts w:hint="eastAsia"/>
                <w:sz w:val="15"/>
                <w:szCs w:val="15"/>
                <w:lang w:val="en-US" w:eastAsia="zh-CN"/>
              </w:rPr>
              <w:t>40</w:t>
            </w:r>
          </w:p>
        </w:tc>
        <w:tc>
          <w:tcPr>
            <w:tcW w:w="696" w:type="dxa"/>
            <w:vAlign w:val="center"/>
          </w:tcPr>
          <w:p>
            <w:pPr>
              <w:pStyle w:val="41"/>
              <w:ind w:firstLine="0" w:firstLineChars="0"/>
              <w:jc w:val="center"/>
              <w:rPr>
                <w:sz w:val="15"/>
                <w:szCs w:val="15"/>
              </w:rPr>
            </w:pPr>
            <w:r>
              <w:rPr>
                <w:rFonts w:hint="eastAsia"/>
                <w:sz w:val="15"/>
                <w:szCs w:val="15"/>
              </w:rPr>
              <w:t>191.03-205.29</w:t>
            </w:r>
          </w:p>
        </w:tc>
        <w:tc>
          <w:tcPr>
            <w:tcW w:w="532" w:type="dxa"/>
            <w:vAlign w:val="center"/>
          </w:tcPr>
          <w:p>
            <w:pPr>
              <w:pStyle w:val="41"/>
              <w:ind w:firstLine="0" w:firstLineChars="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391" w:type="dxa"/>
            <w:vMerge w:val="continue"/>
            <w:vAlign w:val="center"/>
          </w:tcPr>
          <w:p>
            <w:pPr>
              <w:pStyle w:val="41"/>
              <w:ind w:firstLine="0" w:firstLineChars="0"/>
              <w:rPr>
                <w:rFonts w:hint="eastAsia"/>
                <w:sz w:val="21"/>
                <w:szCs w:val="21"/>
              </w:rPr>
            </w:pPr>
          </w:p>
        </w:tc>
        <w:tc>
          <w:tcPr>
            <w:tcW w:w="713" w:type="dxa"/>
            <w:vAlign w:val="center"/>
          </w:tcPr>
          <w:p>
            <w:pPr>
              <w:pStyle w:val="41"/>
              <w:ind w:firstLine="0" w:firstLineChars="0"/>
              <w:jc w:val="center"/>
              <w:rPr>
                <w:rFonts w:hint="eastAsia"/>
                <w:sz w:val="15"/>
                <w:szCs w:val="15"/>
              </w:rPr>
            </w:pPr>
            <w:r>
              <w:rPr>
                <w:rFonts w:hint="eastAsia"/>
                <w:sz w:val="15"/>
                <w:szCs w:val="15"/>
              </w:rPr>
              <w:t>5.</w:t>
            </w:r>
            <w:r>
              <w:rPr>
                <w:rFonts w:hint="eastAsia"/>
                <w:sz w:val="15"/>
                <w:szCs w:val="15"/>
                <w:lang w:val="en-US" w:eastAsia="zh-CN"/>
              </w:rPr>
              <w:t>40</w:t>
            </w:r>
          </w:p>
        </w:tc>
        <w:tc>
          <w:tcPr>
            <w:tcW w:w="1006" w:type="dxa"/>
            <w:vAlign w:val="center"/>
          </w:tcPr>
          <w:p>
            <w:pPr>
              <w:pStyle w:val="41"/>
              <w:ind w:firstLine="0" w:firstLineChars="0"/>
              <w:jc w:val="center"/>
              <w:rPr>
                <w:rFonts w:hint="eastAsia"/>
                <w:color w:val="000000" w:themeColor="text1"/>
                <w:sz w:val="15"/>
                <w:szCs w:val="15"/>
              </w:rPr>
            </w:pPr>
            <w:r>
              <w:rPr>
                <w:rFonts w:hint="eastAsia"/>
                <w:color w:val="000000" w:themeColor="text1"/>
                <w:sz w:val="15"/>
                <w:szCs w:val="15"/>
                <w:lang w:val="en-US" w:eastAsia="zh-CN"/>
              </w:rPr>
              <w:t>2805357.08,546930.73</w:t>
            </w:r>
          </w:p>
        </w:tc>
        <w:tc>
          <w:tcPr>
            <w:tcW w:w="710" w:type="dxa"/>
            <w:vAlign w:val="center"/>
          </w:tcPr>
          <w:p>
            <w:pPr>
              <w:pStyle w:val="41"/>
              <w:ind w:firstLine="0" w:firstLineChars="0"/>
              <w:jc w:val="center"/>
              <w:rPr>
                <w:rFonts w:hint="eastAsia"/>
                <w:sz w:val="15"/>
                <w:szCs w:val="15"/>
              </w:rPr>
            </w:pPr>
            <w:r>
              <w:rPr>
                <w:rFonts w:hint="eastAsia"/>
                <w:sz w:val="15"/>
                <w:szCs w:val="15"/>
                <w:lang w:val="en-US" w:eastAsia="zh-CN"/>
              </w:rPr>
              <w:t>6.52</w:t>
            </w:r>
          </w:p>
        </w:tc>
        <w:tc>
          <w:tcPr>
            <w:tcW w:w="1024" w:type="dxa"/>
            <w:vAlign w:val="center"/>
          </w:tcPr>
          <w:p>
            <w:pPr>
              <w:pStyle w:val="41"/>
              <w:ind w:firstLine="0" w:firstLineChars="0"/>
              <w:jc w:val="center"/>
              <w:rPr>
                <w:rFonts w:hint="eastAsia" w:eastAsiaTheme="minorEastAsia"/>
                <w:color w:val="000000" w:themeColor="text1"/>
                <w:sz w:val="15"/>
                <w:szCs w:val="15"/>
                <w:lang w:val="en-US" w:eastAsia="zh-CN"/>
              </w:rPr>
            </w:pPr>
            <w:r>
              <w:rPr>
                <w:rFonts w:hint="eastAsia"/>
                <w:color w:val="000000" w:themeColor="text1"/>
                <w:sz w:val="15"/>
                <w:szCs w:val="15"/>
              </w:rPr>
              <w:t>2804252.90，546712.9</w:t>
            </w:r>
            <w:r>
              <w:rPr>
                <w:rFonts w:hint="eastAsia"/>
                <w:color w:val="000000" w:themeColor="text1"/>
                <w:sz w:val="15"/>
                <w:szCs w:val="15"/>
                <w:lang w:val="en-US" w:eastAsia="zh-CN"/>
              </w:rPr>
              <w:t>4</w:t>
            </w:r>
          </w:p>
        </w:tc>
        <w:tc>
          <w:tcPr>
            <w:tcW w:w="390" w:type="dxa"/>
            <w:vAlign w:val="center"/>
          </w:tcPr>
          <w:p>
            <w:pPr>
              <w:pStyle w:val="41"/>
              <w:ind w:firstLine="0" w:firstLineChars="0"/>
              <w:jc w:val="center"/>
              <w:rPr>
                <w:sz w:val="15"/>
                <w:szCs w:val="15"/>
              </w:rPr>
            </w:pPr>
          </w:p>
        </w:tc>
        <w:tc>
          <w:tcPr>
            <w:tcW w:w="4377" w:type="dxa"/>
            <w:gridSpan w:val="7"/>
            <w:vAlign w:val="center"/>
          </w:tcPr>
          <w:p>
            <w:pPr>
              <w:pStyle w:val="41"/>
              <w:ind w:firstLine="0" w:firstLineChars="0"/>
              <w:jc w:val="center"/>
              <w:rPr>
                <w:sz w:val="15"/>
                <w:szCs w:val="15"/>
              </w:rPr>
            </w:pPr>
            <w:r>
              <w:rPr>
                <w:rFonts w:hint="eastAsia"/>
                <w:sz w:val="21"/>
                <w:szCs w:val="21"/>
                <w:lang w:val="en-US" w:eastAsia="zh-CN"/>
              </w:rPr>
              <w:t>该河段为江永管理范围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391" w:type="dxa"/>
            <w:vMerge w:val="continue"/>
            <w:vAlign w:val="center"/>
          </w:tcPr>
          <w:p>
            <w:pPr>
              <w:pStyle w:val="41"/>
              <w:ind w:firstLine="0" w:firstLineChars="0"/>
              <w:rPr>
                <w:sz w:val="21"/>
                <w:szCs w:val="21"/>
              </w:rPr>
            </w:pPr>
          </w:p>
        </w:tc>
        <w:tc>
          <w:tcPr>
            <w:tcW w:w="713" w:type="dxa"/>
            <w:vAlign w:val="center"/>
          </w:tcPr>
          <w:p>
            <w:pPr>
              <w:pStyle w:val="41"/>
              <w:ind w:firstLine="0" w:firstLineChars="0"/>
              <w:jc w:val="center"/>
              <w:rPr>
                <w:rFonts w:hint="default" w:eastAsiaTheme="minorEastAsia"/>
                <w:sz w:val="15"/>
                <w:szCs w:val="15"/>
                <w:lang w:val="en-US" w:eastAsia="zh-CN"/>
              </w:rPr>
            </w:pPr>
            <w:r>
              <w:rPr>
                <w:rFonts w:hint="eastAsia"/>
                <w:sz w:val="15"/>
                <w:szCs w:val="15"/>
                <w:lang w:val="en-US" w:eastAsia="zh-CN"/>
              </w:rPr>
              <w:t>6.52</w:t>
            </w:r>
          </w:p>
        </w:tc>
        <w:tc>
          <w:tcPr>
            <w:tcW w:w="1006" w:type="dxa"/>
            <w:vAlign w:val="center"/>
          </w:tcPr>
          <w:p>
            <w:pPr>
              <w:pStyle w:val="41"/>
              <w:ind w:firstLine="0" w:firstLineChars="0"/>
              <w:jc w:val="center"/>
              <w:rPr>
                <w:color w:val="000000" w:themeColor="text1"/>
                <w:sz w:val="15"/>
                <w:szCs w:val="15"/>
              </w:rPr>
            </w:pPr>
            <w:r>
              <w:rPr>
                <w:rFonts w:hint="eastAsia"/>
                <w:color w:val="000000" w:themeColor="text1"/>
                <w:sz w:val="15"/>
                <w:szCs w:val="15"/>
              </w:rPr>
              <w:t>2804252.90，546712.9</w:t>
            </w:r>
            <w:r>
              <w:rPr>
                <w:rFonts w:hint="eastAsia"/>
                <w:color w:val="000000" w:themeColor="text1"/>
                <w:sz w:val="15"/>
                <w:szCs w:val="15"/>
                <w:lang w:val="en-US" w:eastAsia="zh-CN"/>
              </w:rPr>
              <w:t>4</w:t>
            </w:r>
          </w:p>
        </w:tc>
        <w:tc>
          <w:tcPr>
            <w:tcW w:w="710" w:type="dxa"/>
            <w:vAlign w:val="center"/>
          </w:tcPr>
          <w:p>
            <w:pPr>
              <w:pStyle w:val="41"/>
              <w:ind w:firstLine="0" w:firstLineChars="0"/>
              <w:jc w:val="center"/>
              <w:rPr>
                <w:rFonts w:hint="default" w:eastAsiaTheme="minorEastAsia"/>
                <w:sz w:val="15"/>
                <w:szCs w:val="15"/>
                <w:lang w:val="en-US" w:eastAsia="zh-CN"/>
              </w:rPr>
            </w:pPr>
            <w:r>
              <w:rPr>
                <w:rFonts w:hint="eastAsia"/>
                <w:sz w:val="15"/>
                <w:szCs w:val="15"/>
                <w:lang w:val="en-US" w:eastAsia="zh-CN"/>
              </w:rPr>
              <w:t>8.02</w:t>
            </w:r>
          </w:p>
        </w:tc>
        <w:tc>
          <w:tcPr>
            <w:tcW w:w="1024" w:type="dxa"/>
            <w:vAlign w:val="center"/>
          </w:tcPr>
          <w:p>
            <w:pPr>
              <w:pStyle w:val="41"/>
              <w:ind w:firstLine="0" w:firstLineChars="0"/>
              <w:jc w:val="center"/>
              <w:rPr>
                <w:rFonts w:hint="eastAsia" w:asciiTheme="minorHAnsi" w:hAnsiTheme="minorHAnsi" w:eastAsiaTheme="minorEastAsia" w:cstheme="minorBidi"/>
                <w:color w:val="000000" w:themeColor="text1"/>
                <w:kern w:val="2"/>
                <w:sz w:val="15"/>
                <w:szCs w:val="15"/>
                <w:lang w:val="en-US" w:eastAsia="zh-CN" w:bidi="ar-SA"/>
              </w:rPr>
            </w:pPr>
            <w:r>
              <w:rPr>
                <w:rFonts w:hint="eastAsia"/>
                <w:color w:val="000000" w:themeColor="text1"/>
                <w:sz w:val="15"/>
                <w:szCs w:val="15"/>
              </w:rPr>
              <w:t>2802849.0</w:t>
            </w:r>
            <w:r>
              <w:rPr>
                <w:rFonts w:hint="eastAsia"/>
                <w:color w:val="000000" w:themeColor="text1"/>
                <w:sz w:val="15"/>
                <w:szCs w:val="15"/>
                <w:lang w:val="en-US" w:eastAsia="zh-CN"/>
              </w:rPr>
              <w:t>2</w:t>
            </w:r>
            <w:r>
              <w:rPr>
                <w:rFonts w:hint="eastAsia"/>
                <w:color w:val="000000" w:themeColor="text1"/>
                <w:sz w:val="15"/>
                <w:szCs w:val="15"/>
              </w:rPr>
              <w:t>，546205.88</w:t>
            </w:r>
          </w:p>
        </w:tc>
        <w:tc>
          <w:tcPr>
            <w:tcW w:w="390" w:type="dxa"/>
            <w:vAlign w:val="center"/>
          </w:tcPr>
          <w:p>
            <w:pPr>
              <w:pStyle w:val="41"/>
              <w:ind w:firstLine="0" w:firstLineChars="0"/>
              <w:jc w:val="center"/>
              <w:rPr>
                <w:sz w:val="15"/>
                <w:szCs w:val="15"/>
              </w:rPr>
            </w:pPr>
          </w:p>
        </w:tc>
        <w:tc>
          <w:tcPr>
            <w:tcW w:w="702" w:type="dxa"/>
            <w:vAlign w:val="center"/>
          </w:tcPr>
          <w:p>
            <w:pPr>
              <w:pStyle w:val="41"/>
              <w:ind w:firstLine="0" w:firstLineChars="0"/>
              <w:jc w:val="center"/>
              <w:rPr>
                <w:sz w:val="15"/>
                <w:szCs w:val="15"/>
              </w:rPr>
            </w:pPr>
          </w:p>
        </w:tc>
        <w:tc>
          <w:tcPr>
            <w:tcW w:w="702" w:type="dxa"/>
            <w:vAlign w:val="center"/>
          </w:tcPr>
          <w:p>
            <w:pPr>
              <w:pStyle w:val="41"/>
              <w:ind w:firstLine="0" w:firstLineChars="0"/>
              <w:jc w:val="center"/>
              <w:rPr>
                <w:sz w:val="15"/>
                <w:szCs w:val="15"/>
              </w:rPr>
            </w:pPr>
          </w:p>
        </w:tc>
        <w:tc>
          <w:tcPr>
            <w:tcW w:w="702" w:type="dxa"/>
            <w:vAlign w:val="center"/>
          </w:tcPr>
          <w:p>
            <w:pPr>
              <w:pStyle w:val="41"/>
              <w:ind w:firstLine="0" w:firstLineChars="0"/>
              <w:jc w:val="center"/>
              <w:rPr>
                <w:sz w:val="15"/>
                <w:szCs w:val="15"/>
              </w:rPr>
            </w:pPr>
          </w:p>
        </w:tc>
        <w:tc>
          <w:tcPr>
            <w:tcW w:w="392" w:type="dxa"/>
            <w:vAlign w:val="center"/>
          </w:tcPr>
          <w:p>
            <w:pPr>
              <w:pStyle w:val="41"/>
              <w:ind w:firstLine="0" w:firstLineChars="0"/>
              <w:jc w:val="center"/>
              <w:rPr>
                <w:sz w:val="15"/>
                <w:szCs w:val="15"/>
              </w:rPr>
            </w:pPr>
          </w:p>
        </w:tc>
        <w:tc>
          <w:tcPr>
            <w:tcW w:w="651" w:type="dxa"/>
            <w:vAlign w:val="center"/>
          </w:tcPr>
          <w:p>
            <w:pPr>
              <w:pStyle w:val="41"/>
              <w:ind w:firstLine="0" w:firstLineChars="0"/>
              <w:jc w:val="center"/>
              <w:rPr>
                <w:rFonts w:hint="default" w:eastAsiaTheme="minorEastAsia"/>
                <w:sz w:val="15"/>
                <w:szCs w:val="15"/>
                <w:lang w:val="en-US" w:eastAsia="zh-CN"/>
              </w:rPr>
            </w:pPr>
            <w:r>
              <w:rPr>
                <w:rFonts w:hint="eastAsia"/>
                <w:sz w:val="15"/>
                <w:szCs w:val="15"/>
                <w:lang w:val="en-US" w:eastAsia="zh-CN"/>
              </w:rPr>
              <w:t>1.5</w:t>
            </w:r>
          </w:p>
        </w:tc>
        <w:tc>
          <w:tcPr>
            <w:tcW w:w="696" w:type="dxa"/>
            <w:vAlign w:val="center"/>
          </w:tcPr>
          <w:p>
            <w:pPr>
              <w:pStyle w:val="41"/>
              <w:ind w:firstLine="0" w:firstLineChars="0"/>
              <w:jc w:val="center"/>
              <w:rPr>
                <w:sz w:val="15"/>
                <w:szCs w:val="15"/>
              </w:rPr>
            </w:pPr>
            <w:r>
              <w:rPr>
                <w:rFonts w:hint="eastAsia"/>
                <w:sz w:val="15"/>
                <w:szCs w:val="15"/>
              </w:rPr>
              <w:t>207.76-223.16</w:t>
            </w:r>
          </w:p>
        </w:tc>
        <w:tc>
          <w:tcPr>
            <w:tcW w:w="532" w:type="dxa"/>
            <w:vAlign w:val="center"/>
          </w:tcPr>
          <w:p>
            <w:pPr>
              <w:pStyle w:val="41"/>
              <w:ind w:firstLine="0" w:firstLineChars="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391" w:type="dxa"/>
            <w:vMerge w:val="restart"/>
            <w:vAlign w:val="center"/>
          </w:tcPr>
          <w:p>
            <w:pPr>
              <w:pStyle w:val="41"/>
              <w:ind w:firstLine="0" w:firstLineChars="0"/>
              <w:jc w:val="center"/>
              <w:rPr>
                <w:sz w:val="21"/>
                <w:szCs w:val="21"/>
              </w:rPr>
            </w:pPr>
            <w:r>
              <w:rPr>
                <w:rFonts w:hint="eastAsia"/>
                <w:sz w:val="21"/>
                <w:szCs w:val="21"/>
              </w:rPr>
              <w:t>右岸</w:t>
            </w:r>
          </w:p>
        </w:tc>
        <w:tc>
          <w:tcPr>
            <w:tcW w:w="713" w:type="dxa"/>
            <w:vAlign w:val="center"/>
          </w:tcPr>
          <w:p>
            <w:pPr>
              <w:pStyle w:val="41"/>
              <w:ind w:firstLine="0" w:firstLineChars="0"/>
              <w:jc w:val="center"/>
              <w:rPr>
                <w:sz w:val="15"/>
                <w:szCs w:val="15"/>
              </w:rPr>
            </w:pPr>
            <w:r>
              <w:rPr>
                <w:rFonts w:hint="eastAsia"/>
                <w:sz w:val="15"/>
                <w:szCs w:val="15"/>
              </w:rPr>
              <w:t>0</w:t>
            </w:r>
          </w:p>
        </w:tc>
        <w:tc>
          <w:tcPr>
            <w:tcW w:w="1006" w:type="dxa"/>
            <w:vAlign w:val="center"/>
          </w:tcPr>
          <w:p>
            <w:pPr>
              <w:pStyle w:val="41"/>
              <w:ind w:firstLine="0" w:firstLineChars="0"/>
              <w:jc w:val="center"/>
              <w:rPr>
                <w:color w:val="000000" w:themeColor="text1"/>
                <w:sz w:val="15"/>
                <w:szCs w:val="15"/>
              </w:rPr>
            </w:pPr>
            <w:r>
              <w:rPr>
                <w:rFonts w:hint="eastAsia"/>
                <w:color w:val="000000" w:themeColor="text1"/>
                <w:sz w:val="15"/>
                <w:szCs w:val="15"/>
              </w:rPr>
              <w:t>2809144.60，550168.37</w:t>
            </w:r>
          </w:p>
        </w:tc>
        <w:tc>
          <w:tcPr>
            <w:tcW w:w="710" w:type="dxa"/>
            <w:vAlign w:val="center"/>
          </w:tcPr>
          <w:p>
            <w:pPr>
              <w:pStyle w:val="41"/>
              <w:ind w:firstLine="0" w:firstLineChars="0"/>
              <w:jc w:val="center"/>
              <w:rPr>
                <w:sz w:val="15"/>
                <w:szCs w:val="15"/>
              </w:rPr>
            </w:pPr>
            <w:r>
              <w:rPr>
                <w:rFonts w:hint="eastAsia"/>
                <w:sz w:val="15"/>
                <w:szCs w:val="15"/>
              </w:rPr>
              <w:t>5.</w:t>
            </w:r>
            <w:r>
              <w:rPr>
                <w:rFonts w:hint="eastAsia"/>
                <w:sz w:val="15"/>
                <w:szCs w:val="15"/>
                <w:lang w:val="en-US" w:eastAsia="zh-CN"/>
              </w:rPr>
              <w:t>4</w:t>
            </w:r>
            <w:r>
              <w:rPr>
                <w:rFonts w:hint="eastAsia"/>
                <w:sz w:val="15"/>
                <w:szCs w:val="15"/>
              </w:rPr>
              <w:t>0</w:t>
            </w:r>
          </w:p>
        </w:tc>
        <w:tc>
          <w:tcPr>
            <w:tcW w:w="1024" w:type="dxa"/>
            <w:vAlign w:val="center"/>
          </w:tcPr>
          <w:p>
            <w:pPr>
              <w:pStyle w:val="41"/>
              <w:ind w:firstLine="0" w:firstLineChars="0"/>
              <w:jc w:val="center"/>
              <w:rPr>
                <w:rFonts w:hint="default" w:eastAsiaTheme="minorEastAsia"/>
                <w:color w:val="000000" w:themeColor="text1"/>
                <w:sz w:val="15"/>
                <w:szCs w:val="15"/>
                <w:lang w:val="en-US" w:eastAsia="zh-CN"/>
              </w:rPr>
            </w:pPr>
            <w:r>
              <w:rPr>
                <w:rFonts w:hint="eastAsia"/>
                <w:color w:val="000000" w:themeColor="text1"/>
                <w:sz w:val="15"/>
                <w:szCs w:val="15"/>
                <w:lang w:val="en-US" w:eastAsia="zh-CN"/>
              </w:rPr>
              <w:t>2805323.63,547032.96</w:t>
            </w:r>
          </w:p>
        </w:tc>
        <w:tc>
          <w:tcPr>
            <w:tcW w:w="390" w:type="dxa"/>
            <w:vAlign w:val="center"/>
          </w:tcPr>
          <w:p>
            <w:pPr>
              <w:pStyle w:val="41"/>
              <w:ind w:firstLine="0" w:firstLineChars="0"/>
              <w:jc w:val="center"/>
              <w:rPr>
                <w:sz w:val="15"/>
                <w:szCs w:val="15"/>
              </w:rPr>
            </w:pPr>
          </w:p>
        </w:tc>
        <w:tc>
          <w:tcPr>
            <w:tcW w:w="702" w:type="dxa"/>
            <w:vAlign w:val="center"/>
          </w:tcPr>
          <w:p>
            <w:pPr>
              <w:pStyle w:val="41"/>
              <w:ind w:firstLine="0" w:firstLineChars="0"/>
              <w:jc w:val="center"/>
              <w:rPr>
                <w:sz w:val="15"/>
                <w:szCs w:val="15"/>
              </w:rPr>
            </w:pPr>
          </w:p>
        </w:tc>
        <w:tc>
          <w:tcPr>
            <w:tcW w:w="702" w:type="dxa"/>
            <w:vAlign w:val="center"/>
          </w:tcPr>
          <w:p>
            <w:pPr>
              <w:pStyle w:val="41"/>
              <w:ind w:firstLine="0" w:firstLineChars="0"/>
              <w:jc w:val="center"/>
              <w:rPr>
                <w:sz w:val="15"/>
                <w:szCs w:val="15"/>
              </w:rPr>
            </w:pPr>
          </w:p>
        </w:tc>
        <w:tc>
          <w:tcPr>
            <w:tcW w:w="702" w:type="dxa"/>
            <w:vAlign w:val="center"/>
          </w:tcPr>
          <w:p>
            <w:pPr>
              <w:pStyle w:val="41"/>
              <w:ind w:firstLine="0" w:firstLineChars="0"/>
              <w:jc w:val="center"/>
              <w:rPr>
                <w:sz w:val="15"/>
                <w:szCs w:val="15"/>
              </w:rPr>
            </w:pPr>
          </w:p>
        </w:tc>
        <w:tc>
          <w:tcPr>
            <w:tcW w:w="392" w:type="dxa"/>
            <w:vAlign w:val="center"/>
          </w:tcPr>
          <w:p>
            <w:pPr>
              <w:pStyle w:val="41"/>
              <w:ind w:firstLine="0" w:firstLineChars="0"/>
              <w:jc w:val="center"/>
              <w:rPr>
                <w:sz w:val="15"/>
                <w:szCs w:val="15"/>
              </w:rPr>
            </w:pPr>
          </w:p>
        </w:tc>
        <w:tc>
          <w:tcPr>
            <w:tcW w:w="651" w:type="dxa"/>
            <w:vAlign w:val="center"/>
          </w:tcPr>
          <w:p>
            <w:pPr>
              <w:pStyle w:val="41"/>
              <w:ind w:firstLine="0" w:firstLineChars="0"/>
              <w:jc w:val="center"/>
              <w:rPr>
                <w:sz w:val="15"/>
                <w:szCs w:val="15"/>
              </w:rPr>
            </w:pPr>
            <w:r>
              <w:rPr>
                <w:rFonts w:hint="eastAsia"/>
                <w:sz w:val="15"/>
                <w:szCs w:val="15"/>
              </w:rPr>
              <w:t>5.</w:t>
            </w:r>
            <w:r>
              <w:rPr>
                <w:rFonts w:hint="eastAsia"/>
                <w:sz w:val="15"/>
                <w:szCs w:val="15"/>
                <w:lang w:val="en-US" w:eastAsia="zh-CN"/>
              </w:rPr>
              <w:t>40</w:t>
            </w:r>
          </w:p>
        </w:tc>
        <w:tc>
          <w:tcPr>
            <w:tcW w:w="696" w:type="dxa"/>
            <w:vAlign w:val="center"/>
          </w:tcPr>
          <w:p>
            <w:pPr>
              <w:pStyle w:val="41"/>
              <w:ind w:firstLine="0" w:firstLineChars="0"/>
              <w:jc w:val="center"/>
              <w:rPr>
                <w:sz w:val="15"/>
                <w:szCs w:val="15"/>
              </w:rPr>
            </w:pPr>
            <w:r>
              <w:rPr>
                <w:rFonts w:hint="eastAsia"/>
                <w:sz w:val="15"/>
                <w:szCs w:val="15"/>
              </w:rPr>
              <w:t>193.10-205.12</w:t>
            </w:r>
          </w:p>
        </w:tc>
        <w:tc>
          <w:tcPr>
            <w:tcW w:w="532" w:type="dxa"/>
            <w:vAlign w:val="center"/>
          </w:tcPr>
          <w:p>
            <w:pPr>
              <w:pStyle w:val="41"/>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391" w:type="dxa"/>
            <w:vMerge w:val="continue"/>
            <w:vAlign w:val="center"/>
          </w:tcPr>
          <w:p>
            <w:pPr>
              <w:pStyle w:val="41"/>
              <w:ind w:firstLine="0" w:firstLineChars="0"/>
              <w:jc w:val="center"/>
              <w:rPr>
                <w:rFonts w:hint="eastAsia"/>
                <w:sz w:val="21"/>
                <w:szCs w:val="21"/>
              </w:rPr>
            </w:pPr>
          </w:p>
        </w:tc>
        <w:tc>
          <w:tcPr>
            <w:tcW w:w="713" w:type="dxa"/>
            <w:vAlign w:val="center"/>
          </w:tcPr>
          <w:p>
            <w:pPr>
              <w:pStyle w:val="41"/>
              <w:ind w:firstLine="0" w:firstLineChars="0"/>
              <w:jc w:val="center"/>
              <w:rPr>
                <w:rFonts w:hint="eastAsia"/>
                <w:sz w:val="15"/>
                <w:szCs w:val="15"/>
              </w:rPr>
            </w:pPr>
            <w:r>
              <w:rPr>
                <w:rFonts w:hint="eastAsia"/>
                <w:sz w:val="15"/>
                <w:szCs w:val="15"/>
              </w:rPr>
              <w:t>5.</w:t>
            </w:r>
            <w:r>
              <w:rPr>
                <w:rFonts w:hint="eastAsia"/>
                <w:sz w:val="15"/>
                <w:szCs w:val="15"/>
                <w:lang w:val="en-US" w:eastAsia="zh-CN"/>
              </w:rPr>
              <w:t>4</w:t>
            </w:r>
            <w:r>
              <w:rPr>
                <w:rFonts w:hint="eastAsia"/>
                <w:sz w:val="15"/>
                <w:szCs w:val="15"/>
              </w:rPr>
              <w:t>0</w:t>
            </w:r>
          </w:p>
        </w:tc>
        <w:tc>
          <w:tcPr>
            <w:tcW w:w="1006" w:type="dxa"/>
            <w:vAlign w:val="center"/>
          </w:tcPr>
          <w:p>
            <w:pPr>
              <w:pStyle w:val="41"/>
              <w:ind w:firstLine="0" w:firstLineChars="0"/>
              <w:jc w:val="center"/>
              <w:rPr>
                <w:rFonts w:hint="eastAsia"/>
                <w:color w:val="000000" w:themeColor="text1"/>
                <w:sz w:val="15"/>
                <w:szCs w:val="15"/>
              </w:rPr>
            </w:pPr>
            <w:r>
              <w:rPr>
                <w:rFonts w:hint="eastAsia"/>
                <w:color w:val="000000" w:themeColor="text1"/>
                <w:sz w:val="15"/>
                <w:szCs w:val="15"/>
                <w:lang w:val="en-US" w:eastAsia="zh-CN"/>
              </w:rPr>
              <w:t>2805323.63,547032.96</w:t>
            </w:r>
          </w:p>
        </w:tc>
        <w:tc>
          <w:tcPr>
            <w:tcW w:w="710" w:type="dxa"/>
            <w:vAlign w:val="center"/>
          </w:tcPr>
          <w:p>
            <w:pPr>
              <w:pStyle w:val="41"/>
              <w:ind w:firstLine="0" w:firstLineChars="0"/>
              <w:jc w:val="center"/>
              <w:rPr>
                <w:rFonts w:hint="eastAsia"/>
                <w:sz w:val="15"/>
                <w:szCs w:val="15"/>
              </w:rPr>
            </w:pPr>
            <w:r>
              <w:rPr>
                <w:rFonts w:hint="eastAsia"/>
                <w:sz w:val="15"/>
                <w:szCs w:val="15"/>
                <w:lang w:val="en-US" w:eastAsia="zh-CN"/>
              </w:rPr>
              <w:t>6.72</w:t>
            </w:r>
          </w:p>
        </w:tc>
        <w:tc>
          <w:tcPr>
            <w:tcW w:w="1024" w:type="dxa"/>
            <w:vAlign w:val="center"/>
          </w:tcPr>
          <w:p>
            <w:pPr>
              <w:pStyle w:val="41"/>
              <w:ind w:firstLine="0" w:firstLineChars="0"/>
              <w:jc w:val="center"/>
              <w:rPr>
                <w:rFonts w:hint="eastAsia"/>
                <w:color w:val="000000" w:themeColor="text1"/>
                <w:sz w:val="15"/>
                <w:szCs w:val="15"/>
                <w:lang w:val="en-US" w:eastAsia="zh-CN"/>
              </w:rPr>
            </w:pPr>
            <w:r>
              <w:rPr>
                <w:rFonts w:hint="eastAsia"/>
                <w:color w:val="000000" w:themeColor="text1"/>
                <w:sz w:val="15"/>
                <w:szCs w:val="15"/>
                <w:lang w:val="en-US" w:eastAsia="zh-CN"/>
              </w:rPr>
              <w:t>2804023.49,546802.14</w:t>
            </w:r>
          </w:p>
        </w:tc>
        <w:tc>
          <w:tcPr>
            <w:tcW w:w="390" w:type="dxa"/>
            <w:vAlign w:val="center"/>
          </w:tcPr>
          <w:p>
            <w:pPr>
              <w:pStyle w:val="41"/>
              <w:ind w:firstLine="0" w:firstLineChars="0"/>
              <w:jc w:val="center"/>
              <w:rPr>
                <w:sz w:val="15"/>
                <w:szCs w:val="15"/>
              </w:rPr>
            </w:pPr>
          </w:p>
        </w:tc>
        <w:tc>
          <w:tcPr>
            <w:tcW w:w="4377" w:type="dxa"/>
            <w:gridSpan w:val="7"/>
            <w:vAlign w:val="center"/>
          </w:tcPr>
          <w:p>
            <w:pPr>
              <w:pStyle w:val="41"/>
              <w:ind w:firstLine="0" w:firstLineChars="0"/>
              <w:jc w:val="center"/>
              <w:rPr>
                <w:rFonts w:hint="default" w:eastAsiaTheme="minorEastAsia"/>
                <w:sz w:val="21"/>
                <w:szCs w:val="21"/>
                <w:lang w:val="en-US" w:eastAsia="zh-CN"/>
              </w:rPr>
            </w:pPr>
            <w:r>
              <w:rPr>
                <w:rFonts w:hint="eastAsia"/>
                <w:sz w:val="21"/>
                <w:szCs w:val="21"/>
                <w:lang w:val="en-US" w:eastAsia="zh-CN"/>
              </w:rPr>
              <w:t>该河段为江永管理范围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391" w:type="dxa"/>
            <w:vMerge w:val="continue"/>
            <w:vAlign w:val="center"/>
          </w:tcPr>
          <w:p>
            <w:pPr>
              <w:pStyle w:val="41"/>
              <w:ind w:firstLine="0" w:firstLineChars="0"/>
              <w:jc w:val="center"/>
              <w:rPr>
                <w:sz w:val="21"/>
                <w:szCs w:val="21"/>
              </w:rPr>
            </w:pPr>
          </w:p>
        </w:tc>
        <w:tc>
          <w:tcPr>
            <w:tcW w:w="713" w:type="dxa"/>
            <w:vAlign w:val="center"/>
          </w:tcPr>
          <w:p>
            <w:pPr>
              <w:pStyle w:val="41"/>
              <w:ind w:firstLine="0" w:firstLineChars="0"/>
              <w:jc w:val="center"/>
              <w:rPr>
                <w:sz w:val="15"/>
                <w:szCs w:val="15"/>
              </w:rPr>
            </w:pPr>
            <w:r>
              <w:rPr>
                <w:rFonts w:hint="eastAsia"/>
                <w:sz w:val="15"/>
                <w:szCs w:val="15"/>
                <w:lang w:val="en-US" w:eastAsia="zh-CN"/>
              </w:rPr>
              <w:t>6.72</w:t>
            </w:r>
          </w:p>
        </w:tc>
        <w:tc>
          <w:tcPr>
            <w:tcW w:w="1006" w:type="dxa"/>
            <w:vAlign w:val="center"/>
          </w:tcPr>
          <w:p>
            <w:pPr>
              <w:pStyle w:val="41"/>
              <w:ind w:firstLine="0" w:firstLineChars="0"/>
              <w:jc w:val="center"/>
              <w:rPr>
                <w:color w:val="000000" w:themeColor="text1"/>
                <w:sz w:val="15"/>
                <w:szCs w:val="15"/>
              </w:rPr>
            </w:pPr>
            <w:r>
              <w:rPr>
                <w:rFonts w:hint="eastAsia"/>
                <w:color w:val="000000" w:themeColor="text1"/>
                <w:sz w:val="15"/>
                <w:szCs w:val="15"/>
                <w:lang w:val="en-US" w:eastAsia="zh-CN"/>
              </w:rPr>
              <w:t>2804023.49,546802.14</w:t>
            </w:r>
          </w:p>
        </w:tc>
        <w:tc>
          <w:tcPr>
            <w:tcW w:w="710" w:type="dxa"/>
            <w:vAlign w:val="center"/>
          </w:tcPr>
          <w:p>
            <w:pPr>
              <w:pStyle w:val="41"/>
              <w:ind w:firstLine="0" w:firstLineChars="0"/>
              <w:jc w:val="center"/>
              <w:rPr>
                <w:rFonts w:hint="default" w:eastAsiaTheme="minorEastAsia"/>
                <w:sz w:val="15"/>
                <w:szCs w:val="15"/>
                <w:lang w:val="en-US" w:eastAsia="zh-CN"/>
              </w:rPr>
            </w:pPr>
            <w:r>
              <w:rPr>
                <w:rFonts w:hint="eastAsia"/>
                <w:sz w:val="15"/>
                <w:szCs w:val="15"/>
                <w:lang w:val="en-US" w:eastAsia="zh-CN"/>
              </w:rPr>
              <w:t>10.76</w:t>
            </w:r>
          </w:p>
        </w:tc>
        <w:tc>
          <w:tcPr>
            <w:tcW w:w="1024" w:type="dxa"/>
            <w:vAlign w:val="center"/>
          </w:tcPr>
          <w:p>
            <w:pPr>
              <w:pStyle w:val="41"/>
              <w:ind w:firstLine="0" w:firstLineChars="0"/>
              <w:jc w:val="center"/>
              <w:rPr>
                <w:color w:val="000000" w:themeColor="text1"/>
                <w:sz w:val="15"/>
                <w:szCs w:val="15"/>
              </w:rPr>
            </w:pPr>
            <w:r>
              <w:rPr>
                <w:rFonts w:hint="eastAsia"/>
                <w:color w:val="000000" w:themeColor="text1"/>
                <w:sz w:val="15"/>
                <w:szCs w:val="15"/>
              </w:rPr>
              <w:t>2800553.9</w:t>
            </w:r>
            <w:r>
              <w:rPr>
                <w:rFonts w:hint="eastAsia"/>
                <w:color w:val="000000" w:themeColor="text1"/>
                <w:sz w:val="15"/>
                <w:szCs w:val="15"/>
                <w:lang w:val="en-US" w:eastAsia="zh-CN"/>
              </w:rPr>
              <w:t>6</w:t>
            </w:r>
            <w:r>
              <w:rPr>
                <w:rFonts w:hint="eastAsia"/>
                <w:color w:val="000000" w:themeColor="text1"/>
                <w:sz w:val="15"/>
                <w:szCs w:val="15"/>
              </w:rPr>
              <w:t>，546322.41</w:t>
            </w:r>
          </w:p>
        </w:tc>
        <w:tc>
          <w:tcPr>
            <w:tcW w:w="390" w:type="dxa"/>
            <w:vAlign w:val="center"/>
          </w:tcPr>
          <w:p>
            <w:pPr>
              <w:pStyle w:val="41"/>
              <w:ind w:firstLine="0" w:firstLineChars="0"/>
              <w:jc w:val="center"/>
              <w:rPr>
                <w:sz w:val="15"/>
                <w:szCs w:val="15"/>
              </w:rPr>
            </w:pPr>
          </w:p>
        </w:tc>
        <w:tc>
          <w:tcPr>
            <w:tcW w:w="702" w:type="dxa"/>
            <w:vAlign w:val="center"/>
          </w:tcPr>
          <w:p>
            <w:pPr>
              <w:pStyle w:val="41"/>
              <w:ind w:firstLine="0" w:firstLineChars="0"/>
              <w:jc w:val="center"/>
              <w:rPr>
                <w:sz w:val="15"/>
                <w:szCs w:val="15"/>
              </w:rPr>
            </w:pPr>
          </w:p>
        </w:tc>
        <w:tc>
          <w:tcPr>
            <w:tcW w:w="702" w:type="dxa"/>
            <w:vAlign w:val="center"/>
          </w:tcPr>
          <w:p>
            <w:pPr>
              <w:pStyle w:val="41"/>
              <w:ind w:firstLine="0" w:firstLineChars="0"/>
              <w:jc w:val="center"/>
              <w:rPr>
                <w:sz w:val="15"/>
                <w:szCs w:val="15"/>
              </w:rPr>
            </w:pPr>
          </w:p>
        </w:tc>
        <w:tc>
          <w:tcPr>
            <w:tcW w:w="702" w:type="dxa"/>
            <w:vAlign w:val="center"/>
          </w:tcPr>
          <w:p>
            <w:pPr>
              <w:pStyle w:val="41"/>
              <w:ind w:firstLine="0" w:firstLineChars="0"/>
              <w:jc w:val="center"/>
              <w:rPr>
                <w:sz w:val="15"/>
                <w:szCs w:val="15"/>
              </w:rPr>
            </w:pPr>
          </w:p>
        </w:tc>
        <w:tc>
          <w:tcPr>
            <w:tcW w:w="392" w:type="dxa"/>
            <w:vAlign w:val="center"/>
          </w:tcPr>
          <w:p>
            <w:pPr>
              <w:pStyle w:val="41"/>
              <w:ind w:firstLine="0" w:firstLineChars="0"/>
              <w:jc w:val="center"/>
              <w:rPr>
                <w:sz w:val="15"/>
                <w:szCs w:val="15"/>
              </w:rPr>
            </w:pPr>
          </w:p>
        </w:tc>
        <w:tc>
          <w:tcPr>
            <w:tcW w:w="651" w:type="dxa"/>
            <w:vAlign w:val="center"/>
          </w:tcPr>
          <w:p>
            <w:pPr>
              <w:pStyle w:val="41"/>
              <w:ind w:firstLine="0" w:firstLineChars="0"/>
              <w:jc w:val="center"/>
              <w:rPr>
                <w:rFonts w:hint="default" w:eastAsiaTheme="minorEastAsia"/>
                <w:sz w:val="15"/>
                <w:szCs w:val="15"/>
                <w:lang w:val="en-US" w:eastAsia="zh-CN"/>
              </w:rPr>
            </w:pPr>
            <w:r>
              <w:rPr>
                <w:rFonts w:hint="eastAsia"/>
                <w:sz w:val="15"/>
                <w:szCs w:val="15"/>
              </w:rPr>
              <w:t>4.</w:t>
            </w:r>
            <w:r>
              <w:rPr>
                <w:rFonts w:hint="eastAsia"/>
                <w:sz w:val="15"/>
                <w:szCs w:val="15"/>
                <w:lang w:val="en-US" w:eastAsia="zh-CN"/>
              </w:rPr>
              <w:t>04</w:t>
            </w:r>
          </w:p>
        </w:tc>
        <w:tc>
          <w:tcPr>
            <w:tcW w:w="696" w:type="dxa"/>
            <w:vAlign w:val="center"/>
          </w:tcPr>
          <w:p>
            <w:pPr>
              <w:pStyle w:val="41"/>
              <w:ind w:firstLine="0" w:firstLineChars="0"/>
              <w:jc w:val="center"/>
              <w:rPr>
                <w:sz w:val="15"/>
                <w:szCs w:val="15"/>
              </w:rPr>
            </w:pPr>
            <w:r>
              <w:rPr>
                <w:rFonts w:hint="eastAsia"/>
                <w:sz w:val="15"/>
                <w:szCs w:val="15"/>
              </w:rPr>
              <w:t>207.79-224.63</w:t>
            </w:r>
          </w:p>
        </w:tc>
        <w:tc>
          <w:tcPr>
            <w:tcW w:w="532" w:type="dxa"/>
            <w:vAlign w:val="center"/>
          </w:tcPr>
          <w:p>
            <w:pPr>
              <w:pStyle w:val="41"/>
              <w:ind w:firstLine="0" w:firstLineChars="0"/>
              <w:jc w:val="center"/>
              <w:rPr>
                <w:sz w:val="21"/>
                <w:szCs w:val="21"/>
              </w:rPr>
            </w:pPr>
          </w:p>
        </w:tc>
      </w:tr>
      <w:bookmarkEnd w:id="8"/>
    </w:tbl>
    <w:p>
      <w:pPr>
        <w:pStyle w:val="4"/>
        <w:ind w:left="0" w:firstLine="0"/>
      </w:pPr>
      <w:bookmarkStart w:id="9" w:name="_Toc15228265"/>
      <w:bookmarkStart w:id="10" w:name="_Toc19674"/>
      <w:r>
        <w:rPr>
          <w:rFonts w:hint="eastAsia"/>
        </w:rPr>
        <w:t>涉河建设项目情况</w:t>
      </w:r>
      <w:bookmarkEnd w:id="9"/>
      <w:bookmarkEnd w:id="10"/>
    </w:p>
    <w:p>
      <w:pPr>
        <w:pStyle w:val="41"/>
        <w:ind w:firstLine="560"/>
      </w:pPr>
      <w:r>
        <w:rPr>
          <w:rFonts w:hint="eastAsia"/>
        </w:rPr>
        <w:t>白湖村河道县河段已建公路桥、铁路桥等涉河建筑物。具体见下表3。</w:t>
      </w:r>
    </w:p>
    <w:p>
      <w:pPr>
        <w:jc w:val="left"/>
        <w:rPr>
          <w:b/>
        </w:rPr>
      </w:pPr>
      <w:r>
        <w:rPr>
          <w:rFonts w:hint="eastAsia"/>
          <w:b/>
        </w:rPr>
        <w:t>表3                          涉河建设项目情况</w:t>
      </w: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880"/>
        <w:gridCol w:w="975"/>
        <w:gridCol w:w="773"/>
        <w:gridCol w:w="945"/>
        <w:gridCol w:w="840"/>
        <w:gridCol w:w="765"/>
        <w:gridCol w:w="1185"/>
        <w:gridCol w:w="1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1"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w:t>
            </w:r>
          </w:p>
          <w:p>
            <w:pPr>
              <w:widowControl/>
              <w:jc w:val="center"/>
              <w:rPr>
                <w:rFonts w:ascii="宋体" w:hAnsi="宋体" w:eastAsia="宋体" w:cs="宋体"/>
                <w:bCs/>
                <w:kern w:val="0"/>
                <w:szCs w:val="21"/>
              </w:rPr>
            </w:pPr>
            <w:r>
              <w:rPr>
                <w:rFonts w:hint="eastAsia" w:ascii="宋体" w:hAnsi="宋体" w:eastAsia="宋体" w:cs="宋体"/>
                <w:bCs/>
                <w:kern w:val="0"/>
                <w:szCs w:val="21"/>
              </w:rPr>
              <w:t>名称</w:t>
            </w:r>
          </w:p>
        </w:tc>
        <w:tc>
          <w:tcPr>
            <w:tcW w:w="1855" w:type="dxa"/>
            <w:gridSpan w:val="2"/>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项目概位坐标</w:t>
            </w:r>
          </w:p>
        </w:tc>
        <w:tc>
          <w:tcPr>
            <w:tcW w:w="773"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在建/已建</w:t>
            </w:r>
          </w:p>
        </w:tc>
        <w:tc>
          <w:tcPr>
            <w:tcW w:w="945"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所在行政村组</w:t>
            </w:r>
          </w:p>
        </w:tc>
        <w:tc>
          <w:tcPr>
            <w:tcW w:w="840"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岸别</w:t>
            </w:r>
          </w:p>
        </w:tc>
        <w:tc>
          <w:tcPr>
            <w:tcW w:w="765"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建成时间</w:t>
            </w:r>
          </w:p>
        </w:tc>
        <w:tc>
          <w:tcPr>
            <w:tcW w:w="1185"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占用岸线长度（m）</w:t>
            </w:r>
          </w:p>
        </w:tc>
        <w:tc>
          <w:tcPr>
            <w:tcW w:w="1058" w:type="dxa"/>
            <w:vMerge w:val="restart"/>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水利部门审批文号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101" w:type="dxa"/>
            <w:vMerge w:val="continue"/>
            <w:vAlign w:val="center"/>
          </w:tcPr>
          <w:p>
            <w:pPr>
              <w:widowControl/>
              <w:jc w:val="center"/>
              <w:rPr>
                <w:rFonts w:ascii="宋体" w:hAnsi="宋体" w:eastAsia="宋体" w:cs="宋体"/>
                <w:bCs/>
                <w:kern w:val="0"/>
                <w:szCs w:val="21"/>
              </w:rPr>
            </w:pPr>
          </w:p>
        </w:tc>
        <w:tc>
          <w:tcPr>
            <w:tcW w:w="880"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X</w:t>
            </w:r>
          </w:p>
        </w:tc>
        <w:tc>
          <w:tcPr>
            <w:tcW w:w="97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Y</w:t>
            </w:r>
          </w:p>
        </w:tc>
        <w:tc>
          <w:tcPr>
            <w:tcW w:w="773" w:type="dxa"/>
            <w:vMerge w:val="continue"/>
            <w:vAlign w:val="center"/>
          </w:tcPr>
          <w:p>
            <w:pPr>
              <w:widowControl/>
              <w:jc w:val="center"/>
              <w:rPr>
                <w:rFonts w:ascii="宋体" w:hAnsi="宋体" w:eastAsia="宋体" w:cs="宋体"/>
                <w:bCs/>
                <w:kern w:val="0"/>
                <w:szCs w:val="21"/>
              </w:rPr>
            </w:pPr>
          </w:p>
        </w:tc>
        <w:tc>
          <w:tcPr>
            <w:tcW w:w="945" w:type="dxa"/>
            <w:vMerge w:val="continue"/>
            <w:vAlign w:val="center"/>
          </w:tcPr>
          <w:p>
            <w:pPr>
              <w:widowControl/>
              <w:jc w:val="center"/>
              <w:rPr>
                <w:rFonts w:ascii="宋体" w:hAnsi="宋体" w:eastAsia="宋体" w:cs="宋体"/>
                <w:bCs/>
                <w:kern w:val="0"/>
                <w:szCs w:val="21"/>
              </w:rPr>
            </w:pPr>
          </w:p>
        </w:tc>
        <w:tc>
          <w:tcPr>
            <w:tcW w:w="840" w:type="dxa"/>
            <w:vMerge w:val="continue"/>
            <w:vAlign w:val="center"/>
          </w:tcPr>
          <w:p>
            <w:pPr>
              <w:widowControl/>
              <w:jc w:val="center"/>
              <w:rPr>
                <w:rFonts w:ascii="宋体" w:hAnsi="宋体" w:eastAsia="宋体" w:cs="宋体"/>
                <w:bCs/>
                <w:kern w:val="0"/>
                <w:szCs w:val="21"/>
              </w:rPr>
            </w:pPr>
          </w:p>
        </w:tc>
        <w:tc>
          <w:tcPr>
            <w:tcW w:w="765" w:type="dxa"/>
            <w:vMerge w:val="continue"/>
            <w:vAlign w:val="center"/>
          </w:tcPr>
          <w:p>
            <w:pPr>
              <w:widowControl/>
              <w:jc w:val="center"/>
              <w:rPr>
                <w:rFonts w:ascii="宋体" w:hAnsi="宋体" w:eastAsia="宋体" w:cs="宋体"/>
                <w:bCs/>
                <w:kern w:val="0"/>
                <w:szCs w:val="21"/>
              </w:rPr>
            </w:pPr>
          </w:p>
        </w:tc>
        <w:tc>
          <w:tcPr>
            <w:tcW w:w="1185" w:type="dxa"/>
            <w:vMerge w:val="continue"/>
            <w:vAlign w:val="center"/>
          </w:tcPr>
          <w:p>
            <w:pPr>
              <w:widowControl/>
              <w:jc w:val="center"/>
              <w:rPr>
                <w:rFonts w:ascii="宋体" w:hAnsi="宋体" w:eastAsia="宋体" w:cs="宋体"/>
                <w:bCs/>
                <w:kern w:val="0"/>
                <w:szCs w:val="21"/>
              </w:rPr>
            </w:pPr>
          </w:p>
        </w:tc>
        <w:tc>
          <w:tcPr>
            <w:tcW w:w="1058" w:type="dxa"/>
            <w:vMerge w:val="continue"/>
            <w:vAlign w:val="center"/>
          </w:tcPr>
          <w:p>
            <w:pPr>
              <w:widowControl/>
              <w:jc w:val="center"/>
              <w:rPr>
                <w:rFonts w:ascii="宋体" w:hAnsi="宋体" w:eastAsia="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10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郑家公路桥</w:t>
            </w:r>
          </w:p>
        </w:tc>
        <w:tc>
          <w:tcPr>
            <w:tcW w:w="8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549579.26</w:t>
            </w:r>
          </w:p>
        </w:tc>
        <w:tc>
          <w:tcPr>
            <w:tcW w:w="97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2808547.66</w:t>
            </w:r>
          </w:p>
        </w:tc>
        <w:tc>
          <w:tcPr>
            <w:tcW w:w="77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94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郑家村</w:t>
            </w:r>
          </w:p>
        </w:tc>
        <w:tc>
          <w:tcPr>
            <w:tcW w:w="84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65" w:type="dxa"/>
            <w:vAlign w:val="center"/>
          </w:tcPr>
          <w:p>
            <w:pPr>
              <w:widowControl/>
              <w:jc w:val="center"/>
              <w:rPr>
                <w:rFonts w:ascii="宋体" w:hAnsi="宋体" w:eastAsia="宋体" w:cs="宋体"/>
                <w:bCs/>
                <w:kern w:val="0"/>
                <w:sz w:val="13"/>
                <w:szCs w:val="13"/>
              </w:rPr>
            </w:pPr>
            <w:r>
              <w:rPr>
                <w:rFonts w:hint="eastAsia" w:ascii="宋体" w:hAnsi="宋体"/>
                <w:color w:val="000000" w:themeColor="text1"/>
                <w:w w:val="101"/>
                <w:sz w:val="18"/>
              </w:rPr>
              <w:t>/</w:t>
            </w:r>
          </w:p>
        </w:tc>
        <w:tc>
          <w:tcPr>
            <w:tcW w:w="11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05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10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土坝头公路桥</w:t>
            </w:r>
          </w:p>
        </w:tc>
        <w:tc>
          <w:tcPr>
            <w:tcW w:w="8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548319.90</w:t>
            </w:r>
          </w:p>
        </w:tc>
        <w:tc>
          <w:tcPr>
            <w:tcW w:w="97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2807648.50</w:t>
            </w:r>
          </w:p>
        </w:tc>
        <w:tc>
          <w:tcPr>
            <w:tcW w:w="77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94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土坝头村</w:t>
            </w:r>
          </w:p>
        </w:tc>
        <w:tc>
          <w:tcPr>
            <w:tcW w:w="84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65" w:type="dxa"/>
            <w:vAlign w:val="center"/>
          </w:tcPr>
          <w:p>
            <w:pPr>
              <w:widowControl/>
              <w:jc w:val="center"/>
              <w:rPr>
                <w:rFonts w:ascii="宋体" w:hAnsi="宋体" w:eastAsia="宋体" w:cs="宋体"/>
                <w:bCs/>
                <w:kern w:val="0"/>
                <w:sz w:val="13"/>
                <w:szCs w:val="13"/>
              </w:rPr>
            </w:pPr>
            <w:r>
              <w:rPr>
                <w:rFonts w:hint="eastAsia" w:ascii="宋体" w:hAnsi="宋体"/>
                <w:color w:val="000000" w:themeColor="text1"/>
                <w:w w:val="101"/>
                <w:sz w:val="18"/>
              </w:rPr>
              <w:t>/</w:t>
            </w:r>
          </w:p>
        </w:tc>
        <w:tc>
          <w:tcPr>
            <w:tcW w:w="11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05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10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麦山洞公路桥</w:t>
            </w:r>
          </w:p>
        </w:tc>
        <w:tc>
          <w:tcPr>
            <w:tcW w:w="8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547100.62</w:t>
            </w:r>
          </w:p>
        </w:tc>
        <w:tc>
          <w:tcPr>
            <w:tcW w:w="97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2806275.20</w:t>
            </w:r>
          </w:p>
        </w:tc>
        <w:tc>
          <w:tcPr>
            <w:tcW w:w="77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94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麦山洞村</w:t>
            </w:r>
          </w:p>
        </w:tc>
        <w:tc>
          <w:tcPr>
            <w:tcW w:w="84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65" w:type="dxa"/>
            <w:vAlign w:val="center"/>
          </w:tcPr>
          <w:p>
            <w:pPr>
              <w:widowControl/>
              <w:jc w:val="center"/>
              <w:rPr>
                <w:rFonts w:ascii="宋体" w:hAnsi="宋体" w:eastAsia="宋体" w:cs="宋体"/>
                <w:bCs/>
                <w:kern w:val="0"/>
                <w:sz w:val="13"/>
                <w:szCs w:val="13"/>
              </w:rPr>
            </w:pPr>
            <w:r>
              <w:rPr>
                <w:rFonts w:hint="eastAsia" w:ascii="宋体" w:hAnsi="宋体"/>
                <w:color w:val="000000" w:themeColor="text1"/>
                <w:w w:val="101"/>
                <w:sz w:val="18"/>
              </w:rPr>
              <w:t>/</w:t>
            </w:r>
          </w:p>
        </w:tc>
        <w:tc>
          <w:tcPr>
            <w:tcW w:w="11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05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10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洛湛铁路桥</w:t>
            </w:r>
          </w:p>
        </w:tc>
        <w:tc>
          <w:tcPr>
            <w:tcW w:w="8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546541.99</w:t>
            </w:r>
          </w:p>
        </w:tc>
        <w:tc>
          <w:tcPr>
            <w:tcW w:w="97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2803542.34</w:t>
            </w:r>
          </w:p>
        </w:tc>
        <w:tc>
          <w:tcPr>
            <w:tcW w:w="77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94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田广洞村</w:t>
            </w:r>
          </w:p>
        </w:tc>
        <w:tc>
          <w:tcPr>
            <w:tcW w:w="84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65" w:type="dxa"/>
            <w:vAlign w:val="center"/>
          </w:tcPr>
          <w:p>
            <w:pPr>
              <w:widowControl/>
              <w:jc w:val="center"/>
              <w:rPr>
                <w:rFonts w:ascii="宋体" w:hAnsi="宋体" w:eastAsia="宋体" w:cs="宋体"/>
                <w:bCs/>
                <w:kern w:val="0"/>
                <w:sz w:val="13"/>
                <w:szCs w:val="13"/>
              </w:rPr>
            </w:pPr>
            <w:r>
              <w:rPr>
                <w:rFonts w:hint="eastAsia" w:ascii="宋体" w:hAnsi="宋体"/>
                <w:color w:val="000000" w:themeColor="text1"/>
                <w:w w:val="101"/>
                <w:sz w:val="18"/>
              </w:rPr>
              <w:t>/</w:t>
            </w:r>
          </w:p>
        </w:tc>
        <w:tc>
          <w:tcPr>
            <w:tcW w:w="11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10</w:t>
            </w:r>
          </w:p>
        </w:tc>
        <w:tc>
          <w:tcPr>
            <w:tcW w:w="105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10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田广洞公路桥</w:t>
            </w:r>
          </w:p>
        </w:tc>
        <w:tc>
          <w:tcPr>
            <w:tcW w:w="8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546202.85</w:t>
            </w:r>
          </w:p>
        </w:tc>
        <w:tc>
          <w:tcPr>
            <w:tcW w:w="97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2802215.85</w:t>
            </w:r>
          </w:p>
        </w:tc>
        <w:tc>
          <w:tcPr>
            <w:tcW w:w="77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94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田广洞村</w:t>
            </w:r>
          </w:p>
        </w:tc>
        <w:tc>
          <w:tcPr>
            <w:tcW w:w="84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65" w:type="dxa"/>
            <w:vAlign w:val="center"/>
          </w:tcPr>
          <w:p>
            <w:pPr>
              <w:widowControl/>
              <w:jc w:val="center"/>
              <w:rPr>
                <w:rFonts w:ascii="宋体" w:hAnsi="宋体" w:eastAsia="宋体" w:cs="宋体"/>
                <w:bCs/>
                <w:kern w:val="0"/>
                <w:sz w:val="13"/>
                <w:szCs w:val="13"/>
              </w:rPr>
            </w:pPr>
            <w:r>
              <w:rPr>
                <w:rFonts w:hint="eastAsia" w:ascii="宋体" w:hAnsi="宋体"/>
                <w:color w:val="000000" w:themeColor="text1"/>
                <w:w w:val="101"/>
                <w:sz w:val="18"/>
              </w:rPr>
              <w:t>/</w:t>
            </w:r>
          </w:p>
        </w:tc>
        <w:tc>
          <w:tcPr>
            <w:tcW w:w="11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05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bl>
    <w:p>
      <w:pPr>
        <w:pStyle w:val="4"/>
        <w:ind w:left="0" w:firstLine="0"/>
      </w:pPr>
      <w:bookmarkStart w:id="11" w:name="_Toc15228266"/>
      <w:bookmarkStart w:id="12" w:name="_Toc13642"/>
      <w:r>
        <w:rPr>
          <w:rFonts w:hint="eastAsia"/>
        </w:rPr>
        <w:t>土地权属情况</w:t>
      </w:r>
      <w:bookmarkEnd w:id="11"/>
      <w:bookmarkEnd w:id="12"/>
    </w:p>
    <w:p>
      <w:pPr>
        <w:pStyle w:val="41"/>
        <w:ind w:firstLine="560"/>
      </w:pPr>
      <w:r>
        <w:rPr>
          <w:rFonts w:hint="eastAsia"/>
        </w:rPr>
        <w:t>2012年--</w:t>
      </w:r>
      <w:r>
        <w:t>201</w:t>
      </w:r>
      <w:r>
        <w:rPr>
          <w:rFonts w:hint="eastAsia"/>
        </w:rPr>
        <w:t>4</w:t>
      </w:r>
      <w:r>
        <w:t>年</w:t>
      </w:r>
      <w:r>
        <w:rPr>
          <w:rFonts w:hint="eastAsia"/>
        </w:rPr>
        <w:t>期间，湖南省国土资源厅</w:t>
      </w:r>
      <w:r>
        <w:t>组织开展</w:t>
      </w:r>
      <w:r>
        <w:rPr>
          <w:rFonts w:hint="eastAsia"/>
        </w:rPr>
        <w:t>了</w:t>
      </w:r>
      <w:r>
        <w:t>农村集体土地所有权确权调查</w:t>
      </w:r>
      <w:r>
        <w:rPr>
          <w:rFonts w:hint="eastAsia"/>
        </w:rPr>
        <w:t>工作</w:t>
      </w:r>
      <w:r>
        <w:t>，</w:t>
      </w:r>
      <w:r>
        <w:rPr>
          <w:rFonts w:hint="eastAsia"/>
        </w:rPr>
        <w:t>外业调查成果和项目数据库经过省级检查验收。我队在管理范围划定时，重点核查了</w:t>
      </w:r>
      <w:r>
        <w:t>农村集体土地所有权</w:t>
      </w:r>
      <w:r>
        <w:rPr>
          <w:rFonts w:hint="eastAsia"/>
        </w:rPr>
        <w:t>数据库中白湖村河道县河段国有土地所有权范围线与外业调查的河口线，经调查，白湖村河道县河段国有土地所有权范围线与河口线基本吻合，不存在较大偏差。</w:t>
      </w:r>
    </w:p>
    <w:p>
      <w:pPr>
        <w:pStyle w:val="4"/>
        <w:ind w:left="0" w:firstLine="0"/>
      </w:pPr>
      <w:bookmarkStart w:id="13" w:name="_Toc15228267"/>
      <w:bookmarkStart w:id="14" w:name="_Toc24959"/>
      <w:r>
        <w:rPr>
          <w:rFonts w:hint="eastAsia"/>
        </w:rPr>
        <w:t>历史划界情况</w:t>
      </w:r>
      <w:bookmarkEnd w:id="13"/>
      <w:bookmarkEnd w:id="14"/>
    </w:p>
    <w:p>
      <w:pPr>
        <w:pStyle w:val="41"/>
        <w:ind w:firstLine="560"/>
      </w:pPr>
      <w:r>
        <w:rPr>
          <w:rFonts w:hint="eastAsia"/>
        </w:rPr>
        <w:t>白湖村河道县河段未进行历史划界，无历史划界资料。</w:t>
      </w:r>
    </w:p>
    <w:p>
      <w:pPr>
        <w:pStyle w:val="3"/>
        <w:ind w:left="0" w:firstLine="0"/>
      </w:pPr>
      <w:bookmarkStart w:id="15" w:name="_Toc15228268"/>
      <w:bookmarkStart w:id="16" w:name="_Toc16129"/>
      <w:r>
        <w:rPr>
          <w:rFonts w:hint="eastAsia"/>
        </w:rPr>
        <w:t>工作原则及依据</w:t>
      </w:r>
      <w:bookmarkEnd w:id="15"/>
      <w:bookmarkEnd w:id="16"/>
    </w:p>
    <w:p>
      <w:pPr>
        <w:pStyle w:val="4"/>
        <w:ind w:left="0" w:firstLine="0"/>
      </w:pPr>
      <w:bookmarkStart w:id="17" w:name="_Toc15228269"/>
      <w:bookmarkStart w:id="18" w:name="_Toc2057"/>
      <w:r>
        <w:rPr>
          <w:rFonts w:hint="eastAsia"/>
        </w:rPr>
        <w:t>工作原则</w:t>
      </w:r>
      <w:bookmarkEnd w:id="17"/>
      <w:bookmarkEnd w:id="18"/>
    </w:p>
    <w:p>
      <w:pPr>
        <w:pStyle w:val="41"/>
        <w:ind w:firstLine="560"/>
      </w:pPr>
      <w:r>
        <w:rPr>
          <w:rFonts w:hint="eastAsia"/>
        </w:rPr>
        <w:t>（1）以《中华人民共和国防洪法》、《中华人民共和国河道管理条例》、《自然资源统一确权登记办法(试行)》、《湖南省实施&lt;中华人民共和国水法&gt;办法》、《湖南省实施&lt;中华人民共和国河道管理条例&gt;办法》等有关法律法规、文件、技术标准等为依据，依法依规开展河道管理范围划定工作。</w:t>
      </w:r>
    </w:p>
    <w:p>
      <w:pPr>
        <w:pStyle w:val="41"/>
        <w:ind w:firstLine="560"/>
      </w:pPr>
      <w:r>
        <w:t>（2）</w:t>
      </w:r>
      <w:r>
        <w:rPr>
          <w:rFonts w:hint="eastAsia"/>
        </w:rPr>
        <w:t>坚持因地制宜，统筹兼顾。考虑河湖及水利工程管理与保护实际要求，按照尊重历史、注重现实的原则，因地制宜确定管理范围划定标准。要结合第三次土地调查，统筹推进相关工作。在现有河湖管理体制和格局的基础上，为相关改革预留空间，做好衔接。</w:t>
      </w:r>
    </w:p>
    <w:p>
      <w:pPr>
        <w:pStyle w:val="41"/>
        <w:ind w:firstLine="560"/>
      </w:pPr>
      <w:r>
        <w:t>（3）</w:t>
      </w:r>
      <w:r>
        <w:rPr>
          <w:rFonts w:hint="eastAsia"/>
        </w:rPr>
        <w:t>坚持统一标准、统一底图。统一标准，做好上下游资料的衔接，已完成划界的，按照新标准对成果资料核实整理。</w:t>
      </w:r>
    </w:p>
    <w:p>
      <w:pPr>
        <w:pStyle w:val="41"/>
        <w:ind w:firstLine="560"/>
      </w:pPr>
      <w:r>
        <w:t>（4）</w:t>
      </w:r>
      <w:r>
        <w:rPr>
          <w:rFonts w:hint="eastAsia"/>
        </w:rPr>
        <w:t>坚持属地管理，分级负责。按照属地管理原则，各县市区水行政主管部门、自然资源主管部门在县市区人民政府统一领导下，按照职责分工承担范围划定、界桩埋设及产权登记等具体工作。</w:t>
      </w:r>
    </w:p>
    <w:p>
      <w:pPr>
        <w:pStyle w:val="41"/>
        <w:ind w:firstLine="560"/>
      </w:pPr>
      <w:r>
        <w:rPr>
          <w:rFonts w:hint="eastAsia"/>
        </w:rPr>
        <w:t>（5）</w:t>
      </w:r>
      <w:r>
        <w:t>权属不变：管理范围界线划定后，管理范围内土地权属性质不发生变化。</w:t>
      </w:r>
    </w:p>
    <w:p>
      <w:pPr>
        <w:pStyle w:val="4"/>
        <w:ind w:left="0" w:firstLine="0"/>
      </w:pPr>
      <w:bookmarkStart w:id="19" w:name="_Toc15228273"/>
      <w:bookmarkStart w:id="20" w:name="_Toc12412"/>
      <w:r>
        <w:rPr>
          <w:rFonts w:hint="eastAsia"/>
        </w:rPr>
        <w:t>工作依据</w:t>
      </w:r>
      <w:bookmarkEnd w:id="19"/>
      <w:bookmarkEnd w:id="20"/>
    </w:p>
    <w:p>
      <w:pPr>
        <w:pStyle w:val="5"/>
        <w:numPr>
          <w:ilvl w:val="0"/>
          <w:numId w:val="0"/>
        </w:numPr>
        <w:spacing w:before="120" w:after="120" w:line="360" w:lineRule="auto"/>
        <w:rPr>
          <w:rFonts w:ascii="宋体" w:hAnsi="宋体" w:eastAsia="宋体"/>
          <w:sz w:val="28"/>
          <w:szCs w:val="28"/>
        </w:rPr>
      </w:pPr>
      <w:bookmarkStart w:id="21" w:name="_Toc14679054"/>
      <w:bookmarkStart w:id="22" w:name="_Toc450288706"/>
      <w:bookmarkStart w:id="23" w:name="_Toc463087577"/>
      <w:bookmarkStart w:id="24" w:name="_Toc15228274"/>
      <w:bookmarkStart w:id="25" w:name="_Toc29680"/>
      <w:r>
        <w:rPr>
          <w:rFonts w:hint="eastAsia" w:ascii="宋体" w:hAnsi="宋体" w:eastAsia="宋体"/>
          <w:sz w:val="28"/>
          <w:szCs w:val="28"/>
        </w:rPr>
        <w:t>3.2.1法律法规</w:t>
      </w:r>
      <w:bookmarkEnd w:id="21"/>
      <w:bookmarkEnd w:id="22"/>
      <w:bookmarkEnd w:id="23"/>
      <w:bookmarkEnd w:id="24"/>
      <w:bookmarkEnd w:id="25"/>
    </w:p>
    <w:p>
      <w:pPr>
        <w:pStyle w:val="41"/>
        <w:ind w:firstLine="560"/>
      </w:pPr>
      <w:r>
        <w:rPr>
          <w:rFonts w:hint="eastAsia"/>
        </w:rPr>
        <w:t>（</w:t>
      </w:r>
      <w:r>
        <w:t>1</w:t>
      </w:r>
      <w:r>
        <w:rPr>
          <w:rFonts w:hint="eastAsia"/>
        </w:rPr>
        <w:t>）《中华人民共和国水法》（中华人民共和国主席令第</w:t>
      </w:r>
      <w:r>
        <w:t>74</w:t>
      </w:r>
      <w:r>
        <w:rPr>
          <w:rFonts w:hint="eastAsia"/>
        </w:rPr>
        <w:t>号，</w:t>
      </w:r>
      <w:r>
        <w:t>2016</w:t>
      </w:r>
      <w:r>
        <w:rPr>
          <w:rFonts w:hint="eastAsia"/>
        </w:rPr>
        <w:t>年修订</w:t>
      </w:r>
      <w:r>
        <w:t>)</w:t>
      </w:r>
    </w:p>
    <w:p>
      <w:pPr>
        <w:pStyle w:val="41"/>
        <w:ind w:firstLine="560"/>
      </w:pPr>
      <w:r>
        <w:rPr>
          <w:rFonts w:hint="eastAsia"/>
        </w:rPr>
        <w:t>（</w:t>
      </w:r>
      <w:r>
        <w:t>2</w:t>
      </w:r>
      <w:r>
        <w:rPr>
          <w:rFonts w:hint="eastAsia"/>
        </w:rPr>
        <w:t>）《中华人民共和国防洪法》（中华人民共和国主席令第</w:t>
      </w:r>
      <w:r>
        <w:t>88</w:t>
      </w:r>
      <w:r>
        <w:rPr>
          <w:rFonts w:hint="eastAsia"/>
        </w:rPr>
        <w:t>号，</w:t>
      </w:r>
      <w:r>
        <w:t>2016</w:t>
      </w:r>
      <w:r>
        <w:rPr>
          <w:rFonts w:hint="eastAsia"/>
        </w:rPr>
        <w:t>年修订）</w:t>
      </w:r>
    </w:p>
    <w:p>
      <w:pPr>
        <w:pStyle w:val="41"/>
        <w:ind w:firstLine="560"/>
      </w:pPr>
      <w:r>
        <w:rPr>
          <w:rFonts w:hint="eastAsia"/>
        </w:rPr>
        <w:t>（</w:t>
      </w:r>
      <w:r>
        <w:t>3</w:t>
      </w:r>
      <w:r>
        <w:rPr>
          <w:rFonts w:hint="eastAsia"/>
        </w:rPr>
        <w:t>）《中华人民共和国土地管理法》(2004年)</w:t>
      </w:r>
    </w:p>
    <w:p>
      <w:pPr>
        <w:pStyle w:val="41"/>
        <w:ind w:firstLine="560"/>
      </w:pPr>
      <w:r>
        <w:rPr>
          <w:rFonts w:hint="eastAsia"/>
        </w:rPr>
        <w:t>（4）《中华人民共和国土地管理法实施条例》(2014年)</w:t>
      </w:r>
    </w:p>
    <w:p>
      <w:pPr>
        <w:pStyle w:val="41"/>
        <w:ind w:firstLine="560"/>
      </w:pPr>
      <w:r>
        <w:rPr>
          <w:rFonts w:hint="eastAsia"/>
        </w:rPr>
        <w:t>（5）《中华人民共和国河道管理条例》（国务院令第</w:t>
      </w:r>
      <w:r>
        <w:t>3</w:t>
      </w:r>
      <w:r>
        <w:rPr>
          <w:rFonts w:hint="eastAsia"/>
        </w:rPr>
        <w:t>号，</w:t>
      </w:r>
      <w:r>
        <w:t>2017</w:t>
      </w:r>
      <w:r>
        <w:rPr>
          <w:rFonts w:hint="eastAsia"/>
        </w:rPr>
        <w:t>年修订）</w:t>
      </w:r>
    </w:p>
    <w:p>
      <w:pPr>
        <w:pStyle w:val="41"/>
        <w:ind w:firstLine="560"/>
      </w:pPr>
      <w:r>
        <w:rPr>
          <w:rFonts w:hint="eastAsia"/>
        </w:rPr>
        <w:t>（6）《不动产登记暂行条例》（国务院令第</w:t>
      </w:r>
      <w:r>
        <w:t>656</w:t>
      </w:r>
      <w:r>
        <w:rPr>
          <w:rFonts w:hint="eastAsia"/>
        </w:rPr>
        <w:t>号）</w:t>
      </w:r>
    </w:p>
    <w:p>
      <w:pPr>
        <w:pStyle w:val="41"/>
        <w:ind w:firstLine="560"/>
      </w:pPr>
      <w:r>
        <w:rPr>
          <w:rFonts w:hint="eastAsia"/>
        </w:rPr>
        <w:t>（7）《不动产登记暂行条例实施细则》（国士资源部令第</w:t>
      </w:r>
      <w:r>
        <w:t>63</w:t>
      </w:r>
      <w:r>
        <w:rPr>
          <w:rFonts w:hint="eastAsia"/>
        </w:rPr>
        <w:t>号）</w:t>
      </w:r>
    </w:p>
    <w:p>
      <w:pPr>
        <w:pStyle w:val="41"/>
        <w:ind w:firstLine="560"/>
      </w:pPr>
      <w:r>
        <w:rPr>
          <w:rFonts w:hint="eastAsia"/>
        </w:rPr>
        <w:t>（8）《湖南省实施〈中华人民共和国水法〉办法》（湖南省第十届人民代表大会常务委员会公告第</w:t>
      </w:r>
      <w:r>
        <w:t>21</w:t>
      </w:r>
      <w:r>
        <w:rPr>
          <w:rFonts w:hint="eastAsia"/>
        </w:rPr>
        <w:t>号）</w:t>
      </w:r>
    </w:p>
    <w:p>
      <w:pPr>
        <w:pStyle w:val="41"/>
        <w:ind w:firstLine="560"/>
      </w:pPr>
      <w:r>
        <w:rPr>
          <w:rFonts w:hint="eastAsia"/>
        </w:rPr>
        <w:t>（9）《湖南省实施〈中华人民共和国防洪法〉办法》（湖南省第九届人民代表大会常务委员会公告第</w:t>
      </w:r>
      <w:r>
        <w:t>58</w:t>
      </w:r>
      <w:r>
        <w:rPr>
          <w:rFonts w:hint="eastAsia"/>
        </w:rPr>
        <w:t>号）</w:t>
      </w:r>
    </w:p>
    <w:p>
      <w:pPr>
        <w:pStyle w:val="41"/>
        <w:ind w:firstLine="560"/>
      </w:pPr>
      <w:r>
        <w:rPr>
          <w:rFonts w:hint="eastAsia"/>
        </w:rPr>
        <w:t>（10）《湖南省水利水电工程管理办法》〈</w:t>
      </w:r>
      <w:r>
        <w:t>1989</w:t>
      </w:r>
      <w:r>
        <w:rPr>
          <w:rFonts w:hint="eastAsia"/>
        </w:rPr>
        <w:t>年</w:t>
      </w:r>
      <w:r>
        <w:t>2</w:t>
      </w:r>
      <w:r>
        <w:rPr>
          <w:rFonts w:hint="eastAsia"/>
        </w:rPr>
        <w:t>月</w:t>
      </w:r>
      <w:r>
        <w:t>25</w:t>
      </w:r>
      <w:r>
        <w:rPr>
          <w:rFonts w:hint="eastAsia"/>
        </w:rPr>
        <w:t>日湖南省人民政府发布，</w:t>
      </w:r>
      <w:r>
        <w:t>2011</w:t>
      </w:r>
      <w:r>
        <w:rPr>
          <w:rFonts w:hint="eastAsia"/>
        </w:rPr>
        <w:t>年修正〉</w:t>
      </w:r>
    </w:p>
    <w:p>
      <w:pPr>
        <w:pStyle w:val="41"/>
        <w:ind w:firstLine="560"/>
      </w:pPr>
      <w:r>
        <w:rPr>
          <w:rFonts w:hint="eastAsia"/>
        </w:rPr>
        <w:t>（11）《湖南省实施&lt;中华人民共和国河道管理条例〉办法》（湖南省人民政府令第</w:t>
      </w:r>
      <w:r>
        <w:t>43</w:t>
      </w:r>
      <w:r>
        <w:rPr>
          <w:rFonts w:hint="eastAsia"/>
        </w:rPr>
        <w:t>号，</w:t>
      </w:r>
      <w:r>
        <w:t>2008</w:t>
      </w:r>
      <w:r>
        <w:rPr>
          <w:rFonts w:hint="eastAsia"/>
        </w:rPr>
        <w:t>年修正）</w:t>
      </w:r>
    </w:p>
    <w:p>
      <w:pPr>
        <w:pStyle w:val="41"/>
        <w:ind w:firstLine="560"/>
      </w:pPr>
      <w:r>
        <w:rPr>
          <w:rFonts w:hint="eastAsia"/>
        </w:rPr>
        <w:t>（12）《湖南省湘江保护条例》（湖南省第十一届人民代表大会常务委员会公告第</w:t>
      </w:r>
      <w:r>
        <w:t>75</w:t>
      </w:r>
      <w:r>
        <w:rPr>
          <w:rFonts w:hint="eastAsia"/>
        </w:rPr>
        <w:t>号）</w:t>
      </w:r>
    </w:p>
    <w:p>
      <w:pPr>
        <w:pStyle w:val="41"/>
        <w:ind w:firstLine="560"/>
      </w:pPr>
      <w:r>
        <w:rPr>
          <w:rFonts w:hint="eastAsia"/>
        </w:rPr>
        <w:t>（13）其他相关地方政策法规。</w:t>
      </w:r>
    </w:p>
    <w:p>
      <w:pPr>
        <w:pStyle w:val="5"/>
        <w:numPr>
          <w:ilvl w:val="0"/>
          <w:numId w:val="0"/>
        </w:numPr>
        <w:spacing w:before="120" w:after="120" w:line="360" w:lineRule="auto"/>
        <w:rPr>
          <w:rFonts w:ascii="宋体" w:hAnsi="宋体" w:eastAsia="宋体"/>
          <w:sz w:val="28"/>
          <w:szCs w:val="28"/>
        </w:rPr>
      </w:pPr>
      <w:bookmarkStart w:id="26" w:name="_Toc15228275"/>
      <w:bookmarkStart w:id="27" w:name="_Toc14679055"/>
      <w:bookmarkStart w:id="28" w:name="_Toc23769"/>
      <w:r>
        <w:rPr>
          <w:rFonts w:hint="eastAsia" w:ascii="宋体" w:hAnsi="宋体" w:eastAsia="宋体"/>
          <w:sz w:val="28"/>
          <w:szCs w:val="28"/>
        </w:rPr>
        <w:t>3.2.2政策性文件</w:t>
      </w:r>
      <w:bookmarkEnd w:id="26"/>
      <w:bookmarkEnd w:id="27"/>
      <w:bookmarkEnd w:id="28"/>
    </w:p>
    <w:p>
      <w:pPr>
        <w:pStyle w:val="41"/>
        <w:ind w:firstLine="560"/>
      </w:pPr>
      <w:r>
        <w:rPr>
          <w:rFonts w:hint="eastAsia"/>
        </w:rPr>
        <w:t>（1）《关于抓紧划定水利工程管理和保护范围的通知》（水利部水管〔</w:t>
      </w:r>
      <w:r>
        <w:t>1989</w:t>
      </w:r>
      <w:r>
        <w:rPr>
          <w:rFonts w:hint="eastAsia"/>
        </w:rPr>
        <w:t>〕</w:t>
      </w:r>
      <w:r>
        <w:t>5</w:t>
      </w:r>
      <w:r>
        <w:rPr>
          <w:rFonts w:hint="eastAsia"/>
        </w:rPr>
        <w:t>号）</w:t>
      </w:r>
    </w:p>
    <w:p>
      <w:pPr>
        <w:pStyle w:val="41"/>
        <w:ind w:firstLine="560"/>
      </w:pPr>
      <w:r>
        <w:rPr>
          <w:rFonts w:hint="eastAsia"/>
        </w:rPr>
        <w:t>（2）《关于水利水电工程建设用地有关问题的通知》〔国土资发〔</w:t>
      </w:r>
      <w:r>
        <w:t>2001</w:t>
      </w:r>
      <w:r>
        <w:rPr>
          <w:rFonts w:hint="eastAsia"/>
        </w:rPr>
        <w:t>〕</w:t>
      </w:r>
      <w:r>
        <w:t>355</w:t>
      </w:r>
      <w:r>
        <w:rPr>
          <w:rFonts w:hint="eastAsia"/>
        </w:rPr>
        <w:t>号）</w:t>
      </w:r>
    </w:p>
    <w:p>
      <w:pPr>
        <w:pStyle w:val="41"/>
        <w:ind w:firstLine="560"/>
      </w:pPr>
      <w:r>
        <w:rPr>
          <w:rFonts w:hint="eastAsia"/>
        </w:rPr>
        <w:t>（3）《水利部关于深化水利改革的指导意见》（水规计〔</w:t>
      </w:r>
      <w:r>
        <w:t>2014</w:t>
      </w:r>
      <w:r>
        <w:rPr>
          <w:rFonts w:hint="eastAsia"/>
        </w:rPr>
        <w:t>〕</w:t>
      </w:r>
      <w:r>
        <w:t>48</w:t>
      </w:r>
      <w:r>
        <w:rPr>
          <w:rFonts w:hint="eastAsia"/>
        </w:rPr>
        <w:t>号</w:t>
      </w:r>
      <w:r>
        <w:t>)</w:t>
      </w:r>
    </w:p>
    <w:p>
      <w:pPr>
        <w:pStyle w:val="41"/>
        <w:ind w:firstLine="560"/>
      </w:pPr>
      <w:r>
        <w:rPr>
          <w:rFonts w:hint="eastAsia"/>
        </w:rPr>
        <w:t>（4）《关于加强河道管理工作的指导意见》（水建管〔</w:t>
      </w:r>
      <w:r>
        <w:t>2014</w:t>
      </w:r>
      <w:r>
        <w:rPr>
          <w:rFonts w:hint="eastAsia"/>
        </w:rPr>
        <w:t>〕</w:t>
      </w:r>
      <w:r>
        <w:t>76</w:t>
      </w:r>
      <w:r>
        <w:rPr>
          <w:rFonts w:hint="eastAsia"/>
        </w:rPr>
        <w:t>号）</w:t>
      </w:r>
    </w:p>
    <w:p>
      <w:pPr>
        <w:pStyle w:val="41"/>
        <w:ind w:firstLine="560"/>
      </w:pPr>
      <w:r>
        <w:rPr>
          <w:rFonts w:hint="eastAsia"/>
        </w:rPr>
        <w:t>（5）《关于开展河道管理范围和水利工程管理与保护范围划定工作的通知》（水建管〔</w:t>
      </w:r>
      <w:r>
        <w:t>2014</w:t>
      </w:r>
      <w:r>
        <w:rPr>
          <w:rFonts w:hint="eastAsia"/>
        </w:rPr>
        <w:t>〕</w:t>
      </w:r>
      <w:r>
        <w:t>285</w:t>
      </w:r>
      <w:r>
        <w:rPr>
          <w:rFonts w:hint="eastAsia"/>
        </w:rPr>
        <w:t>号）</w:t>
      </w:r>
    </w:p>
    <w:p>
      <w:pPr>
        <w:pStyle w:val="41"/>
        <w:ind w:firstLine="560"/>
      </w:pPr>
      <w:r>
        <w:rPr>
          <w:rFonts w:hint="eastAsia"/>
        </w:rPr>
        <w:t>（6）《湖南省自然资源生态空间统一确权登记工作实施方案(</w:t>
      </w:r>
      <w:r>
        <w:t>2015-2020</w:t>
      </w:r>
      <w:r>
        <w:rPr>
          <w:rFonts w:hint="eastAsia"/>
        </w:rPr>
        <w:t>年)》(湘办发〔</w:t>
      </w:r>
      <w:r>
        <w:t>2016</w:t>
      </w:r>
      <w:r>
        <w:rPr>
          <w:rFonts w:hint="eastAsia"/>
        </w:rPr>
        <w:t>〕</w:t>
      </w:r>
      <w:r>
        <w:t>2</w:t>
      </w:r>
      <w:r>
        <w:rPr>
          <w:rFonts w:hint="eastAsia"/>
        </w:rPr>
        <w:t>号</w:t>
      </w:r>
      <w:r>
        <w:t>)</w:t>
      </w:r>
    </w:p>
    <w:p>
      <w:pPr>
        <w:pStyle w:val="41"/>
        <w:ind w:firstLine="560"/>
      </w:pPr>
      <w:r>
        <w:rPr>
          <w:rFonts w:hint="eastAsia"/>
        </w:rPr>
        <w:t>（7）《水利部国土资源部关于印发〈水流产权确权试点方案〉的通知》（水规计〔</w:t>
      </w:r>
      <w:r>
        <w:t>2016</w:t>
      </w:r>
      <w:r>
        <w:rPr>
          <w:rFonts w:hint="eastAsia"/>
        </w:rPr>
        <w:t>〕</w:t>
      </w:r>
      <w:r>
        <w:t>97</w:t>
      </w:r>
      <w:r>
        <w:rPr>
          <w:rFonts w:hint="eastAsia"/>
        </w:rPr>
        <w:t>号）</w:t>
      </w:r>
    </w:p>
    <w:p>
      <w:pPr>
        <w:pStyle w:val="41"/>
        <w:ind w:firstLine="560"/>
      </w:pPr>
      <w:r>
        <w:rPr>
          <w:rFonts w:hint="eastAsia"/>
        </w:rPr>
        <w:t>（8）《自然资源统一确权登记办法》（试行切</w:t>
      </w:r>
      <w:r>
        <w:t>(</w:t>
      </w:r>
      <w:r>
        <w:rPr>
          <w:rFonts w:hint="eastAsia"/>
        </w:rPr>
        <w:t>国土资发〔</w:t>
      </w:r>
      <w:r>
        <w:t>2016</w:t>
      </w:r>
      <w:r>
        <w:rPr>
          <w:rFonts w:hint="eastAsia"/>
        </w:rPr>
        <w:t>〕</w:t>
      </w:r>
      <w:r>
        <w:t>192</w:t>
      </w:r>
      <w:r>
        <w:rPr>
          <w:rFonts w:hint="eastAsia"/>
        </w:rPr>
        <w:t>号）</w:t>
      </w:r>
    </w:p>
    <w:p>
      <w:pPr>
        <w:pStyle w:val="41"/>
        <w:ind w:firstLine="560"/>
      </w:pPr>
      <w:r>
        <w:rPr>
          <w:rFonts w:hint="eastAsia"/>
        </w:rPr>
        <w:t>（9）《关于全面推行河长制的实施意见》〔湘办〔</w:t>
      </w:r>
      <w:r>
        <w:t>2017</w:t>
      </w:r>
      <w:r>
        <w:rPr>
          <w:rFonts w:hint="eastAsia"/>
        </w:rPr>
        <w:t>〕</w:t>
      </w:r>
      <w:r>
        <w:t>13</w:t>
      </w:r>
      <w:r>
        <w:rPr>
          <w:rFonts w:hint="eastAsia"/>
        </w:rPr>
        <w:t>号）</w:t>
      </w:r>
    </w:p>
    <w:p>
      <w:pPr>
        <w:pStyle w:val="5"/>
        <w:numPr>
          <w:ilvl w:val="0"/>
          <w:numId w:val="0"/>
        </w:numPr>
        <w:spacing w:before="120" w:after="120" w:line="360" w:lineRule="auto"/>
        <w:rPr>
          <w:rFonts w:ascii="宋体" w:hAnsi="宋体" w:eastAsia="宋体"/>
          <w:sz w:val="28"/>
          <w:szCs w:val="28"/>
        </w:rPr>
      </w:pPr>
      <w:bookmarkStart w:id="29" w:name="_Toc15228276"/>
      <w:bookmarkStart w:id="30" w:name="_Toc2882"/>
      <w:bookmarkStart w:id="31" w:name="_Toc14679056"/>
      <w:r>
        <w:rPr>
          <w:rFonts w:hint="eastAsia" w:ascii="宋体" w:hAnsi="宋体" w:eastAsia="宋体"/>
          <w:sz w:val="28"/>
          <w:szCs w:val="28"/>
        </w:rPr>
        <w:t>3.2.3技术标准规范</w:t>
      </w:r>
      <w:bookmarkEnd w:id="29"/>
      <w:bookmarkEnd w:id="30"/>
      <w:bookmarkEnd w:id="31"/>
    </w:p>
    <w:p>
      <w:pPr>
        <w:pStyle w:val="41"/>
        <w:ind w:firstLine="560"/>
      </w:pPr>
      <w:r>
        <w:rPr>
          <w:rFonts w:hint="eastAsia"/>
        </w:rPr>
        <w:t>（</w:t>
      </w:r>
      <w:r>
        <w:t>1</w:t>
      </w:r>
      <w:r>
        <w:rPr>
          <w:rFonts w:hint="eastAsia"/>
        </w:rPr>
        <w:t>）《防洪标准》（GB50201-2014）</w:t>
      </w:r>
    </w:p>
    <w:p>
      <w:pPr>
        <w:pStyle w:val="41"/>
        <w:ind w:firstLine="560"/>
      </w:pPr>
      <w:r>
        <w:rPr>
          <w:rFonts w:hint="eastAsia"/>
        </w:rPr>
        <w:t>（2）《水利水电工程设计洪水》（SL44-2006）</w:t>
      </w:r>
    </w:p>
    <w:p>
      <w:pPr>
        <w:pStyle w:val="41"/>
        <w:ind w:firstLine="560"/>
      </w:pPr>
      <w:r>
        <w:rPr>
          <w:rFonts w:hint="eastAsia"/>
        </w:rPr>
        <w:t>（3）《堤防工程设计规范》（GB50286-2013）</w:t>
      </w:r>
    </w:p>
    <w:p>
      <w:pPr>
        <w:pStyle w:val="41"/>
        <w:ind w:firstLine="560"/>
      </w:pPr>
      <w:r>
        <w:rPr>
          <w:rFonts w:hint="eastAsia"/>
        </w:rPr>
        <w:t>（4）《水利水电工程等级划分及洪水标准》（SL252-2000）</w:t>
      </w:r>
    </w:p>
    <w:p>
      <w:pPr>
        <w:pStyle w:val="41"/>
        <w:ind w:firstLine="560"/>
      </w:pPr>
      <w:r>
        <w:rPr>
          <w:rFonts w:hint="eastAsia"/>
        </w:rPr>
        <w:t>（5）《堤防工程管理设计规范》（SL171-96）</w:t>
      </w:r>
    </w:p>
    <w:p>
      <w:pPr>
        <w:pStyle w:val="41"/>
        <w:ind w:firstLine="560"/>
      </w:pPr>
      <w:r>
        <w:rPr>
          <w:rFonts w:hint="eastAsia"/>
        </w:rPr>
        <w:t>（6）《河道整治设计规范》（GB50707-2011）</w:t>
      </w:r>
    </w:p>
    <w:p>
      <w:pPr>
        <w:pStyle w:val="41"/>
        <w:ind w:firstLine="560"/>
      </w:pPr>
      <w:r>
        <w:rPr>
          <w:rFonts w:hint="eastAsia"/>
        </w:rPr>
        <w:t>（7）《全球定位系统城市测量技术规程》（CJJ73-2010）</w:t>
      </w:r>
    </w:p>
    <w:p>
      <w:pPr>
        <w:pStyle w:val="41"/>
        <w:ind w:firstLine="560"/>
      </w:pPr>
      <w:r>
        <w:rPr>
          <w:rFonts w:hint="eastAsia"/>
        </w:rPr>
        <w:t>（8）《国家三、四等水准测量规范》（GB12898-2009）</w:t>
      </w:r>
    </w:p>
    <w:p>
      <w:pPr>
        <w:pStyle w:val="41"/>
        <w:ind w:firstLine="560"/>
      </w:pPr>
      <w:r>
        <w:rPr>
          <w:rFonts w:hint="eastAsia"/>
        </w:rPr>
        <w:t>（9）《测绘产品检查验收规定》（GB/T24356-2009）</w:t>
      </w:r>
    </w:p>
    <w:p>
      <w:pPr>
        <w:pStyle w:val="41"/>
        <w:ind w:firstLine="560"/>
      </w:pPr>
      <w:r>
        <w:rPr>
          <w:rFonts w:hint="eastAsia"/>
        </w:rPr>
        <w:t>（</w:t>
      </w:r>
      <w:r>
        <w:t>1</w:t>
      </w:r>
      <w:r>
        <w:rPr>
          <w:rFonts w:hint="eastAsia"/>
        </w:rPr>
        <w:t>0）《地籍调查规程》（TD/T1001-2012）</w:t>
      </w:r>
    </w:p>
    <w:p>
      <w:pPr>
        <w:pStyle w:val="41"/>
        <w:ind w:firstLine="560"/>
      </w:pPr>
      <w:r>
        <w:rPr>
          <w:rFonts w:hint="eastAsia"/>
        </w:rPr>
        <w:t>（</w:t>
      </w:r>
      <w:r>
        <w:t>1</w:t>
      </w:r>
      <w:r>
        <w:rPr>
          <w:rFonts w:hint="eastAsia"/>
        </w:rPr>
        <w:t>1）《土地利用现状分类》（GB/T21010-2007）</w:t>
      </w:r>
    </w:p>
    <w:p>
      <w:pPr>
        <w:pStyle w:val="41"/>
        <w:ind w:firstLine="560"/>
      </w:pPr>
      <w:r>
        <w:rPr>
          <w:rFonts w:hint="eastAsia"/>
        </w:rPr>
        <w:t>（</w:t>
      </w:r>
      <w:r>
        <w:t>1</w:t>
      </w:r>
      <w:r>
        <w:rPr>
          <w:rFonts w:hint="eastAsia"/>
        </w:rPr>
        <w:t>2）《数字航空摄影测量测图规范第1部分：1:500 1:1000 1:2000 数字高程模型数字正射影像图数字线划图》（CH/T3007.1-2011）</w:t>
      </w:r>
    </w:p>
    <w:p>
      <w:pPr>
        <w:pStyle w:val="41"/>
        <w:ind w:firstLine="560"/>
      </w:pPr>
      <w:r>
        <w:rPr>
          <w:rFonts w:hint="eastAsia"/>
        </w:rPr>
        <w:t>（13）《全球定位系统GPS测量规范》（GB/T18314-2009）</w:t>
      </w:r>
    </w:p>
    <w:p>
      <w:pPr>
        <w:pStyle w:val="41"/>
        <w:ind w:firstLine="560"/>
      </w:pPr>
      <w:r>
        <w:rPr>
          <w:rFonts w:hint="eastAsia"/>
        </w:rPr>
        <w:t>（14）《全球定位系统实时动态测量(RTK)技术规范》（CH/T2009-2010）</w:t>
      </w:r>
    </w:p>
    <w:p>
      <w:pPr>
        <w:pStyle w:val="41"/>
        <w:ind w:firstLine="560"/>
      </w:pPr>
      <w:r>
        <w:rPr>
          <w:rFonts w:hint="eastAsia"/>
        </w:rPr>
        <w:t>（15）《国家基本比例尺地形图图式第1部分：1:500 1:1000 1:2000 地形图图式》（GB/T20257.1-2007）</w:t>
      </w:r>
    </w:p>
    <w:p>
      <w:pPr>
        <w:pStyle w:val="41"/>
        <w:ind w:firstLine="560"/>
      </w:pPr>
      <w:r>
        <w:rPr>
          <w:rFonts w:hint="eastAsia"/>
        </w:rPr>
        <w:t>（</w:t>
      </w:r>
      <w:r>
        <w:t>1</w:t>
      </w:r>
      <w:r>
        <w:rPr>
          <w:rFonts w:hint="eastAsia"/>
        </w:rPr>
        <w:t>6）《1:500、1:1000、1:2000数字地形图测绘规范》（DB33/T 552-2014）</w:t>
      </w:r>
    </w:p>
    <w:p>
      <w:pPr>
        <w:pStyle w:val="41"/>
        <w:ind w:firstLine="560"/>
      </w:pPr>
      <w:r>
        <w:rPr>
          <w:rFonts w:hint="eastAsia"/>
        </w:rPr>
        <w:t>（</w:t>
      </w:r>
      <w:r>
        <w:t>1</w:t>
      </w:r>
      <w:r>
        <w:rPr>
          <w:rFonts w:hint="eastAsia"/>
        </w:rPr>
        <w:t>7）《基础地理信息要素分类与图形表达代码》（DB33/T 817-2010）</w:t>
      </w:r>
    </w:p>
    <w:p>
      <w:pPr>
        <w:pStyle w:val="41"/>
        <w:ind w:firstLine="560"/>
      </w:pPr>
      <w:r>
        <w:rPr>
          <w:rFonts w:hint="eastAsia"/>
        </w:rPr>
        <w:t>（</w:t>
      </w:r>
      <w:r>
        <w:t>1</w:t>
      </w:r>
      <w:r>
        <w:rPr>
          <w:rFonts w:hint="eastAsia"/>
        </w:rPr>
        <w:t>8）《测绘资质分级标准》（国测管发〔2014〕31号修订版）</w:t>
      </w:r>
    </w:p>
    <w:p>
      <w:pPr>
        <w:pStyle w:val="41"/>
        <w:ind w:firstLine="560"/>
      </w:pPr>
      <w:r>
        <w:rPr>
          <w:rFonts w:hint="eastAsia"/>
        </w:rPr>
        <w:t>（19）其它技术标准、规范、规程</w:t>
      </w:r>
    </w:p>
    <w:p>
      <w:pPr>
        <w:pStyle w:val="3"/>
        <w:ind w:left="0" w:firstLine="0"/>
      </w:pPr>
      <w:bookmarkStart w:id="32" w:name="_Toc15228277"/>
      <w:bookmarkStart w:id="33" w:name="_Toc31691"/>
      <w:r>
        <w:rPr>
          <w:rFonts w:hint="eastAsia"/>
        </w:rPr>
        <w:t>组织实施情况</w:t>
      </w:r>
      <w:bookmarkEnd w:id="32"/>
      <w:bookmarkEnd w:id="33"/>
    </w:p>
    <w:p>
      <w:pPr>
        <w:pStyle w:val="41"/>
        <w:ind w:firstLine="560"/>
      </w:pPr>
      <w:r>
        <w:rPr>
          <w:rFonts w:hint="eastAsia"/>
        </w:rPr>
        <w:t>道县河道划界工作由道县水利局组织实施，通过公开招投标确定湖南省地质矿产勘查开发局四0九队作为技术支持单位，具体分工如下：</w:t>
      </w:r>
    </w:p>
    <w:p>
      <w:pPr>
        <w:pStyle w:val="41"/>
        <w:ind w:firstLine="560"/>
      </w:pPr>
      <w:r>
        <w:rPr>
          <w:rFonts w:hint="eastAsia"/>
        </w:rPr>
        <w:t>（1）道县水利局负责组织项目实施方案的审定，项目成果的检查验收，提供水务相关基础资料，负责与道县自然资源局协调解决河段土地登记政策及相关事宜，及时协调解决工作实施中遇到的相关问题。同时负责提供划界所需的水文资料、权源资料、河道综合整治规划资料、堤防等水利工程设计图相关地方政策文件等。</w:t>
      </w:r>
    </w:p>
    <w:p>
      <w:pPr>
        <w:pStyle w:val="41"/>
        <w:ind w:firstLine="560"/>
      </w:pPr>
      <w:r>
        <w:rPr>
          <w:rFonts w:hint="eastAsia"/>
        </w:rPr>
        <w:t>（2）道县自然资源局负责提供农村集体土地所有权确权相关成果、水利工程用地审批和登记等相关资料，负责组织对农村土地所有权调查成果有出入或变化河段重新进行指界。</w:t>
      </w:r>
    </w:p>
    <w:p>
      <w:pPr>
        <w:pStyle w:val="41"/>
        <w:ind w:firstLine="560"/>
      </w:pPr>
      <w:r>
        <w:rPr>
          <w:rFonts w:hint="eastAsia"/>
        </w:rPr>
        <w:t>（3）技术单位负责界线划定工作底图制作、管理范围划定、管理范围划定公告图制作、管理范围划定报告编制、权属调查等技术层面工作。</w:t>
      </w:r>
    </w:p>
    <w:p>
      <w:pPr>
        <w:pStyle w:val="4"/>
        <w:ind w:left="0" w:firstLine="0"/>
      </w:pPr>
      <w:bookmarkStart w:id="34" w:name="_Toc20821"/>
      <w:bookmarkStart w:id="35" w:name="_Toc15228278"/>
      <w:r>
        <w:rPr>
          <w:rFonts w:hint="eastAsia"/>
        </w:rPr>
        <w:t>已有资料收集</w:t>
      </w:r>
      <w:bookmarkEnd w:id="34"/>
      <w:bookmarkEnd w:id="35"/>
    </w:p>
    <w:p>
      <w:pPr>
        <w:pStyle w:val="41"/>
        <w:ind w:firstLine="560"/>
      </w:pPr>
      <w:r>
        <w:rPr>
          <w:rFonts w:hint="eastAsia"/>
        </w:rPr>
        <w:t>项目已收集的资料和资料来源如下：</w:t>
      </w:r>
    </w:p>
    <w:p>
      <w:pPr>
        <w:pStyle w:val="41"/>
        <w:ind w:firstLine="560"/>
      </w:pPr>
      <w:r>
        <w:rPr>
          <w:rFonts w:hint="eastAsia"/>
        </w:rPr>
        <w:t>（1）道县不动产统一登记基础数据建设项目相关资料，包括1:2000数字正射影像、1:2000数字线划图加密成果，资源来源于湖南省水利水电科学研究院。</w:t>
      </w:r>
    </w:p>
    <w:p>
      <w:pPr>
        <w:pStyle w:val="41"/>
        <w:ind w:firstLine="560"/>
      </w:pPr>
      <w:r>
        <w:rPr>
          <w:rFonts w:hint="eastAsia"/>
        </w:rPr>
        <w:t>（2）道县农村集体土地所有权确权调査成果资料，资源来源于湖南省水利水电科学研究院。</w:t>
      </w:r>
    </w:p>
    <w:p>
      <w:pPr>
        <w:pStyle w:val="41"/>
        <w:ind w:firstLine="560"/>
      </w:pPr>
      <w:r>
        <w:rPr>
          <w:rFonts w:hint="eastAsia"/>
        </w:rPr>
        <w:t xml:space="preserve">（3）收集道县河道划界资料汇编资料、道县第一次水利普查成果相关资料，资源来源于道县水利局。 </w:t>
      </w:r>
    </w:p>
    <w:p>
      <w:pPr>
        <w:pStyle w:val="41"/>
        <w:ind w:firstLine="560"/>
      </w:pPr>
      <w:r>
        <w:rPr>
          <w:rFonts w:hint="eastAsia"/>
        </w:rPr>
        <w:t>（4）道县1:2000数字线划图成果资料，资源来源于永州市自然资源局信息中心。</w:t>
      </w:r>
    </w:p>
    <w:p>
      <w:pPr>
        <w:pStyle w:val="41"/>
        <w:ind w:firstLine="560"/>
      </w:pPr>
      <w:r>
        <w:rPr>
          <w:rFonts w:hint="eastAsia"/>
        </w:rPr>
        <w:t>（5）道县农村土地承包经营权确权项目数据库、DOM正射影像底图，资源来源于道县农村经营管理局；</w:t>
      </w:r>
    </w:p>
    <w:p>
      <w:pPr>
        <w:pStyle w:val="4"/>
        <w:ind w:left="0" w:firstLine="0"/>
      </w:pPr>
      <w:bookmarkStart w:id="36" w:name="_Toc15228279"/>
      <w:bookmarkStart w:id="37" w:name="_Toc19449"/>
      <w:r>
        <w:rPr>
          <w:rFonts w:hint="eastAsia"/>
        </w:rPr>
        <w:t>工作底图制作</w:t>
      </w:r>
      <w:bookmarkEnd w:id="36"/>
      <w:bookmarkEnd w:id="37"/>
    </w:p>
    <w:p>
      <w:pPr>
        <w:pStyle w:val="5"/>
        <w:ind w:left="0" w:firstLine="0"/>
      </w:pPr>
      <w:bookmarkStart w:id="38" w:name="_Toc15228280"/>
      <w:bookmarkStart w:id="39" w:name="_Toc22580"/>
      <w:r>
        <w:rPr>
          <w:rFonts w:hint="eastAsia"/>
        </w:rPr>
        <w:t>已有资料预处理</w:t>
      </w:r>
      <w:bookmarkEnd w:id="38"/>
      <w:bookmarkEnd w:id="39"/>
    </w:p>
    <w:p>
      <w:pPr>
        <w:pStyle w:val="2"/>
        <w:spacing w:line="480" w:lineRule="auto"/>
        <w:ind w:firstLine="420" w:firstLineChars="150"/>
        <w:rPr>
          <w:sz w:val="28"/>
        </w:rPr>
      </w:pPr>
      <w:r>
        <w:rPr>
          <w:rFonts w:hint="eastAsia"/>
          <w:sz w:val="28"/>
        </w:rPr>
        <w:t>（1）对于无堤防河段的洪水位值进行高程基准转换，将收集到的无堤防河段所有洪水位值高程基准转换统一到1985国家高程基准。</w:t>
      </w:r>
    </w:p>
    <w:p>
      <w:pPr>
        <w:pStyle w:val="2"/>
        <w:spacing w:line="480" w:lineRule="auto"/>
        <w:ind w:firstLine="480"/>
        <w:rPr>
          <w:sz w:val="28"/>
        </w:rPr>
      </w:pPr>
      <w:r>
        <w:rPr>
          <w:rFonts w:hint="eastAsia"/>
          <w:sz w:val="28"/>
        </w:rPr>
        <w:t>（2）基于区域周边高等级控制点计算转换参数，对农村集体土地所有权确权等非2000国家大地坐标系成果进行坐标转换，将所有数据资料的平面坐标系统一为2000国家大地坐标系，高斯投影，标准3度分带。</w:t>
      </w:r>
    </w:p>
    <w:p>
      <w:pPr>
        <w:pStyle w:val="2"/>
        <w:spacing w:line="480" w:lineRule="auto"/>
        <w:ind w:firstLine="480"/>
        <w:rPr>
          <w:sz w:val="28"/>
        </w:rPr>
      </w:pPr>
      <w:r>
        <w:rPr>
          <w:rFonts w:hint="eastAsia"/>
          <w:sz w:val="28"/>
        </w:rPr>
        <w:t>（3）将收集到的重要纸质资料进行矢量化处理。</w:t>
      </w:r>
    </w:p>
    <w:p>
      <w:pPr>
        <w:pStyle w:val="5"/>
        <w:ind w:left="0" w:firstLine="0"/>
      </w:pPr>
      <w:bookmarkStart w:id="40" w:name="_Toc15228281"/>
      <w:bookmarkStart w:id="41" w:name="_Toc13629"/>
      <w:r>
        <w:rPr>
          <w:rFonts w:hint="eastAsia"/>
        </w:rPr>
        <w:t>河湖划界参考要素补充采集</w:t>
      </w:r>
      <w:bookmarkEnd w:id="40"/>
      <w:bookmarkEnd w:id="41"/>
    </w:p>
    <w:p>
      <w:pPr>
        <w:pStyle w:val="2"/>
        <w:spacing w:line="480" w:lineRule="auto"/>
        <w:ind w:firstLine="480"/>
        <w:rPr>
          <w:sz w:val="28"/>
        </w:rPr>
      </w:pPr>
      <w:r>
        <w:rPr>
          <w:rFonts w:hint="eastAsia"/>
          <w:sz w:val="28"/>
        </w:rPr>
        <w:t>在航测立体釆集系统下，正确设置立体测图所用的各种参数，恢复航摄数字影像的立体模型，基于1:2000航摄资料补充采集水域外围100米范围内对于河道管理范围划界有参照基准作用的相关地物要素，包括等高线、河口线等，遇到山体或城区时可根据需要适当缩小测量范围。</w:t>
      </w:r>
    </w:p>
    <w:p>
      <w:pPr>
        <w:pStyle w:val="5"/>
        <w:ind w:left="0" w:firstLine="0"/>
      </w:pPr>
      <w:bookmarkStart w:id="42" w:name="_Toc30312"/>
      <w:bookmarkStart w:id="43" w:name="_Toc15228282"/>
      <w:r>
        <w:rPr>
          <w:rFonts w:hint="eastAsia"/>
        </w:rPr>
        <w:t>地形图补充测量</w:t>
      </w:r>
      <w:bookmarkEnd w:id="42"/>
      <w:bookmarkEnd w:id="43"/>
    </w:p>
    <w:p>
      <w:pPr>
        <w:pStyle w:val="2"/>
        <w:spacing w:line="480" w:lineRule="auto"/>
        <w:ind w:firstLine="480"/>
        <w:rPr>
          <w:sz w:val="28"/>
        </w:rPr>
      </w:pPr>
      <w:r>
        <w:rPr>
          <w:rFonts w:hint="eastAsia"/>
          <w:sz w:val="28"/>
        </w:rPr>
        <w:t>我队收集了河段1:2000数字正射影像、1:2000数字线划图、原始航摄影像、空三加密成果以及其它大比例尺基础地理信息，地形图及影像图满足河道划界要求。补测了设计洪水位计算所需的实测河道横断面22个。</w:t>
      </w:r>
    </w:p>
    <w:p>
      <w:pPr>
        <w:pStyle w:val="5"/>
        <w:ind w:left="0" w:firstLine="0"/>
      </w:pPr>
      <w:bookmarkStart w:id="44" w:name="_Toc15228283"/>
      <w:bookmarkStart w:id="45" w:name="_Toc20933"/>
      <w:r>
        <w:rPr>
          <w:rFonts w:hint="eastAsia"/>
        </w:rPr>
        <w:t>数据整合</w:t>
      </w:r>
      <w:bookmarkEnd w:id="44"/>
      <w:bookmarkEnd w:id="45"/>
    </w:p>
    <w:p>
      <w:pPr>
        <w:pStyle w:val="2"/>
        <w:spacing w:line="480" w:lineRule="auto"/>
        <w:ind w:firstLine="480"/>
        <w:rPr>
          <w:sz w:val="28"/>
        </w:rPr>
      </w:pPr>
      <w:r>
        <w:rPr>
          <w:rFonts w:hint="eastAsia"/>
          <w:sz w:val="28"/>
        </w:rPr>
        <w:t>（1）根据第一次水利普查、地方水务部门提供的相关资料，补充完善河流面和堤防等要素的属性值。不同防洪等级河段对应的水系结构线应断开，并分别赋相应属性值。</w:t>
      </w:r>
    </w:p>
    <w:p>
      <w:pPr>
        <w:pStyle w:val="2"/>
        <w:spacing w:line="480" w:lineRule="auto"/>
        <w:ind w:firstLine="480"/>
        <w:rPr>
          <w:sz w:val="28"/>
        </w:rPr>
      </w:pPr>
      <w:r>
        <w:rPr>
          <w:rFonts w:hint="eastAsia"/>
          <w:sz w:val="28"/>
        </w:rPr>
        <w:t>（2）对有空间地理数据的堤防规划和权源资料进行格式转换、坐标转换等处理，对无空间地理数据的堤防规划和权源资料尽量根据界桩点坐标和文字说明进行矢量化，形成空间数据。</w:t>
      </w:r>
    </w:p>
    <w:p>
      <w:pPr>
        <w:pStyle w:val="41"/>
        <w:ind w:firstLine="560"/>
      </w:pPr>
      <w:r>
        <w:rPr>
          <w:rFonts w:hint="eastAsia"/>
        </w:rPr>
        <w:t>（3）将处理后的农村集体土地所有权确权成果、空间矢量化后的规划设计和权源资料、1:2000正射影像和立体下釆集的相关要素叠加，形成河道及水利工程确权划界的工作底图。工作底图可以按河流或河段为单元保存，图名按江（河）名及河段编。</w:t>
      </w:r>
    </w:p>
    <w:p>
      <w:pPr>
        <w:pStyle w:val="4"/>
        <w:ind w:left="0" w:firstLine="0"/>
      </w:pPr>
      <w:bookmarkStart w:id="46" w:name="_Toc15228284"/>
      <w:bookmarkStart w:id="47" w:name="_Toc11269"/>
      <w:r>
        <w:rPr>
          <w:rFonts w:hint="eastAsia"/>
        </w:rPr>
        <w:t>管理范围室内初步划定</w:t>
      </w:r>
      <w:bookmarkEnd w:id="46"/>
      <w:bookmarkEnd w:id="47"/>
    </w:p>
    <w:p>
      <w:pPr>
        <w:pStyle w:val="5"/>
        <w:ind w:left="0" w:firstLine="0"/>
      </w:pPr>
      <w:bookmarkStart w:id="48" w:name="_Toc15228285"/>
      <w:bookmarkStart w:id="49" w:name="_Toc15726"/>
      <w:r>
        <w:rPr>
          <w:rFonts w:hint="eastAsia"/>
        </w:rPr>
        <w:t>洪水位分析</w:t>
      </w:r>
      <w:bookmarkEnd w:id="48"/>
      <w:bookmarkEnd w:id="49"/>
    </w:p>
    <w:p>
      <w:pPr>
        <w:pStyle w:val="5"/>
        <w:numPr>
          <w:ilvl w:val="2"/>
          <w:numId w:val="0"/>
        </w:numPr>
        <w:rPr>
          <w:b w:val="0"/>
          <w:bCs w:val="0"/>
        </w:rPr>
      </w:pPr>
      <w:bookmarkStart w:id="50" w:name="_Toc32137"/>
      <w:bookmarkStart w:id="51" w:name="_Toc14629"/>
      <w:r>
        <w:rPr>
          <w:b w:val="0"/>
          <w:bCs w:val="0"/>
        </w:rPr>
        <w:t>4.3.1</w:t>
      </w:r>
      <w:r>
        <w:rPr>
          <w:rFonts w:hint="eastAsia"/>
          <w:b w:val="0"/>
          <w:bCs w:val="0"/>
        </w:rPr>
        <w:t>.1 设计洪水标准</w:t>
      </w:r>
      <w:bookmarkEnd w:id="50"/>
      <w:bookmarkEnd w:id="51"/>
    </w:p>
    <w:p>
      <w:pPr>
        <w:pStyle w:val="2"/>
        <w:spacing w:line="480" w:lineRule="auto"/>
        <w:ind w:firstLine="560" w:firstLineChars="200"/>
        <w:rPr>
          <w:b/>
        </w:rPr>
      </w:pPr>
      <w:r>
        <w:rPr>
          <w:rFonts w:hint="eastAsia" w:asciiTheme="minorEastAsia" w:hAnsiTheme="minorEastAsia" w:cstheme="minorEastAsia"/>
          <w:sz w:val="28"/>
        </w:rPr>
        <w:t>根据2014年6月23日由国家质量技术监督局和中华人民共和国建设部联合发布、2015年5月1日起实施的中华人民共和国国家标准《防洪标准》(GB50201-2014)，以乡村为主</w:t>
      </w:r>
      <w:r>
        <w:rPr>
          <w:rFonts w:hint="eastAsia"/>
          <w:sz w:val="28"/>
        </w:rPr>
        <w:t>的防护区，应根据人口或耕地面积分为四个等级，各等级的防洪标准见表4。</w:t>
      </w:r>
    </w:p>
    <w:p>
      <w:pPr>
        <w:rPr>
          <w:b/>
        </w:rPr>
      </w:pPr>
      <w:r>
        <w:rPr>
          <w:rFonts w:hint="eastAsia"/>
          <w:b/>
        </w:rPr>
        <w:t>表4                     乡村防护区的防护等级和防洪标准</w:t>
      </w:r>
    </w:p>
    <w:tbl>
      <w:tblPr>
        <w:tblStyle w:val="22"/>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401"/>
        <w:gridCol w:w="2587"/>
        <w:gridCol w:w="26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861" w:type="dxa"/>
            <w:noWrap/>
            <w:vAlign w:val="center"/>
          </w:tcPr>
          <w:p>
            <w:pPr>
              <w:snapToGrid w:val="0"/>
              <w:spacing w:line="440" w:lineRule="exact"/>
              <w:jc w:val="center"/>
              <w:rPr>
                <w:szCs w:val="21"/>
              </w:rPr>
            </w:pPr>
            <w:r>
              <w:rPr>
                <w:szCs w:val="21"/>
              </w:rPr>
              <w:t>等级</w:t>
            </w:r>
          </w:p>
        </w:tc>
        <w:tc>
          <w:tcPr>
            <w:tcW w:w="2401" w:type="dxa"/>
            <w:noWrap/>
            <w:vAlign w:val="center"/>
          </w:tcPr>
          <w:p>
            <w:pPr>
              <w:snapToGrid w:val="0"/>
              <w:spacing w:line="440" w:lineRule="exact"/>
              <w:jc w:val="center"/>
              <w:rPr>
                <w:szCs w:val="21"/>
              </w:rPr>
            </w:pPr>
            <w:r>
              <w:rPr>
                <w:rFonts w:hint="eastAsia"/>
                <w:szCs w:val="21"/>
              </w:rPr>
              <w:t>人口(万人)</w:t>
            </w:r>
          </w:p>
        </w:tc>
        <w:tc>
          <w:tcPr>
            <w:tcW w:w="2587" w:type="dxa"/>
            <w:noWrap/>
            <w:vAlign w:val="center"/>
          </w:tcPr>
          <w:p>
            <w:pPr>
              <w:snapToGrid w:val="0"/>
              <w:spacing w:line="440" w:lineRule="exact"/>
              <w:jc w:val="center"/>
              <w:rPr>
                <w:rFonts w:eastAsia="宋体"/>
                <w:szCs w:val="21"/>
              </w:rPr>
            </w:pPr>
            <w:r>
              <w:rPr>
                <w:rFonts w:hint="eastAsia"/>
                <w:szCs w:val="21"/>
              </w:rPr>
              <w:t>耕地面积(万亩)</w:t>
            </w:r>
          </w:p>
        </w:tc>
        <w:tc>
          <w:tcPr>
            <w:tcW w:w="2673" w:type="dxa"/>
            <w:noWrap/>
            <w:vAlign w:val="center"/>
          </w:tcPr>
          <w:p>
            <w:pPr>
              <w:snapToGrid w:val="0"/>
              <w:spacing w:line="440" w:lineRule="exact"/>
              <w:jc w:val="center"/>
            </w:pPr>
            <w:r>
              <w:rPr>
                <w:szCs w:val="21"/>
              </w:rPr>
              <w:t>防洪标准重现期(年)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Ⅰ</w:t>
            </w:r>
          </w:p>
        </w:tc>
        <w:tc>
          <w:tcPr>
            <w:tcW w:w="2401" w:type="dxa"/>
            <w:noWrap/>
            <w:vAlign w:val="center"/>
          </w:tcPr>
          <w:p>
            <w:pPr>
              <w:snapToGrid w:val="0"/>
              <w:spacing w:line="440" w:lineRule="exact"/>
              <w:jc w:val="center"/>
              <w:rPr>
                <w:szCs w:val="21"/>
              </w:rPr>
            </w:pPr>
            <w:r>
              <w:rPr>
                <w:szCs w:val="21"/>
              </w:rPr>
              <w:t>&gt;150</w:t>
            </w:r>
          </w:p>
        </w:tc>
        <w:tc>
          <w:tcPr>
            <w:tcW w:w="2587" w:type="dxa"/>
            <w:noWrap/>
            <w:vAlign w:val="center"/>
          </w:tcPr>
          <w:p>
            <w:pPr>
              <w:snapToGrid w:val="0"/>
              <w:spacing w:line="440" w:lineRule="exact"/>
              <w:jc w:val="center"/>
              <w:rPr>
                <w:szCs w:val="21"/>
              </w:rPr>
            </w:pPr>
            <w:r>
              <w:rPr>
                <w:szCs w:val="21"/>
              </w:rPr>
              <w:t>&gt;</w:t>
            </w:r>
            <w:r>
              <w:rPr>
                <w:rFonts w:hint="eastAsia"/>
                <w:szCs w:val="21"/>
              </w:rPr>
              <w:t>30</w:t>
            </w:r>
            <w:r>
              <w:rPr>
                <w:szCs w:val="21"/>
              </w:rPr>
              <w:t>0</w:t>
            </w:r>
          </w:p>
        </w:tc>
        <w:tc>
          <w:tcPr>
            <w:tcW w:w="2673" w:type="dxa"/>
            <w:noWrap/>
            <w:vAlign w:val="center"/>
          </w:tcPr>
          <w:p>
            <w:pPr>
              <w:snapToGrid w:val="0"/>
              <w:spacing w:line="440" w:lineRule="exact"/>
              <w:jc w:val="center"/>
            </w:pPr>
            <w:r>
              <w:rPr>
                <w:szCs w:val="21"/>
              </w:rPr>
              <w:t>1</w:t>
            </w:r>
            <w:r>
              <w:rPr>
                <w:rFonts w:hint="eastAsia"/>
                <w:szCs w:val="21"/>
              </w:rPr>
              <w:t>0</w:t>
            </w:r>
            <w:r>
              <w:rPr>
                <w:szCs w:val="21"/>
              </w:rPr>
              <w:t>0-</w:t>
            </w:r>
            <w:r>
              <w:rPr>
                <w:rFonts w:hint="eastAsia"/>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Ⅱ</w:t>
            </w:r>
          </w:p>
        </w:tc>
        <w:tc>
          <w:tcPr>
            <w:tcW w:w="2401" w:type="dxa"/>
            <w:noWrap/>
            <w:vAlign w:val="center"/>
          </w:tcPr>
          <w:p>
            <w:pPr>
              <w:snapToGrid w:val="0"/>
              <w:spacing w:line="440" w:lineRule="exact"/>
              <w:jc w:val="center"/>
              <w:rPr>
                <w:szCs w:val="21"/>
              </w:rPr>
            </w:pPr>
            <w:r>
              <w:rPr>
                <w:szCs w:val="21"/>
              </w:rPr>
              <w:t>50-</w:t>
            </w:r>
            <w:r>
              <w:rPr>
                <w:rFonts w:hint="eastAsia"/>
                <w:szCs w:val="21"/>
              </w:rPr>
              <w:t>1</w:t>
            </w:r>
            <w:r>
              <w:rPr>
                <w:szCs w:val="21"/>
              </w:rPr>
              <w:t>50</w:t>
            </w:r>
          </w:p>
        </w:tc>
        <w:tc>
          <w:tcPr>
            <w:tcW w:w="2587" w:type="dxa"/>
            <w:noWrap/>
            <w:vAlign w:val="center"/>
          </w:tcPr>
          <w:p>
            <w:pPr>
              <w:snapToGrid w:val="0"/>
              <w:spacing w:line="440" w:lineRule="exact"/>
              <w:jc w:val="center"/>
              <w:rPr>
                <w:szCs w:val="21"/>
              </w:rPr>
            </w:pPr>
            <w:r>
              <w:rPr>
                <w:szCs w:val="21"/>
              </w:rPr>
              <w:t>1</w:t>
            </w:r>
            <w:r>
              <w:rPr>
                <w:rFonts w:hint="eastAsia"/>
                <w:szCs w:val="21"/>
              </w:rPr>
              <w:t>0</w:t>
            </w:r>
            <w:r>
              <w:rPr>
                <w:szCs w:val="21"/>
              </w:rPr>
              <w:t>0-</w:t>
            </w:r>
            <w:r>
              <w:rPr>
                <w:rFonts w:hint="eastAsia"/>
                <w:szCs w:val="21"/>
              </w:rPr>
              <w:t>30</w:t>
            </w:r>
            <w:r>
              <w:rPr>
                <w:szCs w:val="21"/>
              </w:rPr>
              <w:t>0</w:t>
            </w:r>
          </w:p>
        </w:tc>
        <w:tc>
          <w:tcPr>
            <w:tcW w:w="2673" w:type="dxa"/>
            <w:noWrap/>
            <w:vAlign w:val="center"/>
          </w:tcPr>
          <w:p>
            <w:pPr>
              <w:snapToGrid w:val="0"/>
              <w:spacing w:line="440" w:lineRule="exact"/>
              <w:jc w:val="center"/>
            </w:pPr>
            <w:r>
              <w:rPr>
                <w:rFonts w:hint="eastAsia"/>
                <w:szCs w:val="21"/>
              </w:rPr>
              <w:t>50</w:t>
            </w:r>
            <w:r>
              <w:rPr>
                <w:szCs w:val="21"/>
              </w:rPr>
              <w:t>-</w:t>
            </w:r>
            <w:r>
              <w:rPr>
                <w:rFonts w:hint="eastAsia"/>
                <w:szCs w:val="21"/>
              </w:rPr>
              <w:t>3</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Ⅲ</w:t>
            </w:r>
          </w:p>
        </w:tc>
        <w:tc>
          <w:tcPr>
            <w:tcW w:w="2401" w:type="dxa"/>
            <w:noWrap/>
            <w:vAlign w:val="center"/>
          </w:tcPr>
          <w:p>
            <w:pPr>
              <w:snapToGrid w:val="0"/>
              <w:spacing w:line="440" w:lineRule="exact"/>
              <w:jc w:val="center"/>
              <w:rPr>
                <w:szCs w:val="21"/>
              </w:rPr>
            </w:pPr>
            <w:r>
              <w:rPr>
                <w:rFonts w:hint="eastAsia"/>
                <w:szCs w:val="21"/>
              </w:rPr>
              <w:t>2</w:t>
            </w:r>
            <w:r>
              <w:rPr>
                <w:szCs w:val="21"/>
              </w:rPr>
              <w:t>0-</w:t>
            </w:r>
            <w:r>
              <w:rPr>
                <w:rFonts w:hint="eastAsia"/>
                <w:szCs w:val="21"/>
              </w:rPr>
              <w:t>5</w:t>
            </w:r>
            <w:r>
              <w:rPr>
                <w:szCs w:val="21"/>
              </w:rPr>
              <w:t>0</w:t>
            </w:r>
          </w:p>
        </w:tc>
        <w:tc>
          <w:tcPr>
            <w:tcW w:w="2587" w:type="dxa"/>
            <w:noWrap/>
            <w:vAlign w:val="center"/>
          </w:tcPr>
          <w:p>
            <w:pPr>
              <w:snapToGrid w:val="0"/>
              <w:spacing w:line="440" w:lineRule="exact"/>
              <w:jc w:val="center"/>
              <w:rPr>
                <w:szCs w:val="21"/>
              </w:rPr>
            </w:pPr>
            <w:r>
              <w:rPr>
                <w:rFonts w:hint="eastAsia"/>
                <w:szCs w:val="21"/>
              </w:rPr>
              <w:t>3</w:t>
            </w:r>
            <w:r>
              <w:rPr>
                <w:szCs w:val="21"/>
              </w:rPr>
              <w:t>0-</w:t>
            </w:r>
            <w:r>
              <w:rPr>
                <w:rFonts w:hint="eastAsia"/>
                <w:szCs w:val="21"/>
              </w:rPr>
              <w:t>10</w:t>
            </w:r>
            <w:r>
              <w:rPr>
                <w:szCs w:val="21"/>
              </w:rPr>
              <w:t>0</w:t>
            </w:r>
          </w:p>
        </w:tc>
        <w:tc>
          <w:tcPr>
            <w:tcW w:w="2673" w:type="dxa"/>
            <w:noWrap/>
            <w:vAlign w:val="center"/>
          </w:tcPr>
          <w:p>
            <w:pPr>
              <w:snapToGrid w:val="0"/>
              <w:spacing w:line="440" w:lineRule="exact"/>
              <w:jc w:val="center"/>
            </w:pPr>
            <w:r>
              <w:rPr>
                <w:rFonts w:hint="eastAsia"/>
                <w:szCs w:val="21"/>
              </w:rPr>
              <w:t>3</w:t>
            </w:r>
            <w:r>
              <w:rPr>
                <w:szCs w:val="21"/>
              </w:rPr>
              <w:t>0-</w:t>
            </w:r>
            <w:r>
              <w:rPr>
                <w:rFonts w:hint="eastAsia"/>
                <w:szCs w:val="21"/>
              </w:rPr>
              <w:t>2</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Ⅳ</w:t>
            </w:r>
          </w:p>
        </w:tc>
        <w:tc>
          <w:tcPr>
            <w:tcW w:w="2401" w:type="dxa"/>
            <w:noWrap/>
            <w:vAlign w:val="center"/>
          </w:tcPr>
          <w:p>
            <w:pPr>
              <w:snapToGrid w:val="0"/>
              <w:spacing w:line="440" w:lineRule="exact"/>
              <w:jc w:val="center"/>
              <w:rPr>
                <w:szCs w:val="21"/>
              </w:rPr>
            </w:pPr>
            <w:r>
              <w:rPr>
                <w:szCs w:val="21"/>
              </w:rPr>
              <w:t>&lt;20</w:t>
            </w:r>
          </w:p>
        </w:tc>
        <w:tc>
          <w:tcPr>
            <w:tcW w:w="2587" w:type="dxa"/>
            <w:noWrap/>
            <w:vAlign w:val="center"/>
          </w:tcPr>
          <w:p>
            <w:pPr>
              <w:snapToGrid w:val="0"/>
              <w:spacing w:line="440" w:lineRule="exact"/>
              <w:jc w:val="center"/>
              <w:rPr>
                <w:szCs w:val="21"/>
              </w:rPr>
            </w:pPr>
            <w:r>
              <w:rPr>
                <w:szCs w:val="21"/>
              </w:rPr>
              <w:t>&lt;</w:t>
            </w:r>
            <w:r>
              <w:rPr>
                <w:rFonts w:hint="eastAsia"/>
                <w:szCs w:val="21"/>
              </w:rPr>
              <w:t>3</w:t>
            </w:r>
            <w:r>
              <w:rPr>
                <w:szCs w:val="21"/>
              </w:rPr>
              <w:t>0</w:t>
            </w:r>
          </w:p>
        </w:tc>
        <w:tc>
          <w:tcPr>
            <w:tcW w:w="2673" w:type="dxa"/>
            <w:noWrap/>
            <w:vAlign w:val="center"/>
          </w:tcPr>
          <w:p>
            <w:pPr>
              <w:snapToGrid w:val="0"/>
              <w:spacing w:line="440" w:lineRule="exact"/>
              <w:jc w:val="center"/>
            </w:pPr>
            <w:r>
              <w:rPr>
                <w:rFonts w:hint="eastAsia"/>
                <w:szCs w:val="21"/>
              </w:rPr>
              <w:t>2</w:t>
            </w:r>
            <w:r>
              <w:rPr>
                <w:szCs w:val="21"/>
              </w:rPr>
              <w:t>0-</w:t>
            </w:r>
            <w:r>
              <w:rPr>
                <w:rFonts w:hint="eastAsia"/>
                <w:szCs w:val="21"/>
              </w:rPr>
              <w:t>1</w:t>
            </w:r>
            <w:r>
              <w:rPr>
                <w:szCs w:val="21"/>
              </w:rPr>
              <w:t>0</w:t>
            </w:r>
          </w:p>
        </w:tc>
      </w:tr>
    </w:tbl>
    <w:p>
      <w:pPr>
        <w:pStyle w:val="2"/>
        <w:spacing w:line="480" w:lineRule="auto"/>
        <w:ind w:firstLine="560" w:firstLineChars="200"/>
        <w:rPr>
          <w:sz w:val="28"/>
        </w:rPr>
      </w:pPr>
      <w:r>
        <w:rPr>
          <w:rFonts w:hint="eastAsia"/>
          <w:sz w:val="28"/>
        </w:rPr>
        <w:t>白湖村河道县河段沿岸经过乡村地段，由上表可知本河段防洪标准为10年一遇。</w:t>
      </w:r>
    </w:p>
    <w:p>
      <w:pPr>
        <w:pStyle w:val="5"/>
        <w:numPr>
          <w:ilvl w:val="2"/>
          <w:numId w:val="0"/>
        </w:numPr>
        <w:rPr>
          <w:b w:val="0"/>
          <w:bCs w:val="0"/>
        </w:rPr>
      </w:pPr>
      <w:bookmarkStart w:id="52" w:name="_Toc1714"/>
      <w:bookmarkStart w:id="53" w:name="_Toc17621"/>
      <w:r>
        <w:rPr>
          <w:b w:val="0"/>
          <w:bCs w:val="0"/>
        </w:rPr>
        <w:t>4.3.1</w:t>
      </w:r>
      <w:r>
        <w:rPr>
          <w:rFonts w:hint="eastAsia"/>
          <w:b w:val="0"/>
          <w:bCs w:val="0"/>
        </w:rPr>
        <w:t>.2 水文基本资料</w:t>
      </w:r>
      <w:bookmarkEnd w:id="52"/>
      <w:bookmarkEnd w:id="53"/>
    </w:p>
    <w:p>
      <w:pPr>
        <w:pStyle w:val="2"/>
        <w:spacing w:line="480" w:lineRule="auto"/>
        <w:ind w:firstLine="480"/>
        <w:rPr>
          <w:sz w:val="28"/>
        </w:rPr>
      </w:pPr>
      <w:r>
        <w:rPr>
          <w:rFonts w:hint="eastAsia"/>
          <w:sz w:val="28"/>
        </w:rPr>
        <w:t>白湖村河流域内没有实测的水文测站资料。</w:t>
      </w:r>
    </w:p>
    <w:p>
      <w:pPr>
        <w:pStyle w:val="5"/>
        <w:numPr>
          <w:ilvl w:val="2"/>
          <w:numId w:val="0"/>
        </w:numPr>
        <w:rPr>
          <w:b w:val="0"/>
          <w:bCs w:val="0"/>
        </w:rPr>
      </w:pPr>
      <w:bookmarkStart w:id="54" w:name="_Toc14649"/>
      <w:bookmarkStart w:id="55" w:name="_Toc827"/>
      <w:r>
        <w:rPr>
          <w:b w:val="0"/>
          <w:bCs w:val="0"/>
        </w:rPr>
        <w:t>4.3.1</w:t>
      </w:r>
      <w:r>
        <w:rPr>
          <w:rFonts w:hint="eastAsia"/>
          <w:b w:val="0"/>
          <w:bCs w:val="0"/>
        </w:rPr>
        <w:t>.3 断面资料</w:t>
      </w:r>
      <w:bookmarkEnd w:id="54"/>
      <w:bookmarkEnd w:id="55"/>
    </w:p>
    <w:p>
      <w:pPr>
        <w:pStyle w:val="2"/>
        <w:spacing w:line="480" w:lineRule="auto"/>
        <w:ind w:firstLine="480"/>
        <w:rPr>
          <w:sz w:val="28"/>
        </w:rPr>
      </w:pPr>
      <w:r>
        <w:rPr>
          <w:sz w:val="28"/>
        </w:rPr>
        <w:t>本</w:t>
      </w:r>
      <w:r>
        <w:rPr>
          <w:rFonts w:hint="eastAsia"/>
          <w:sz w:val="28"/>
        </w:rPr>
        <w:t>次</w:t>
      </w:r>
      <w:r>
        <w:rPr>
          <w:sz w:val="28"/>
        </w:rPr>
        <w:t>在</w:t>
      </w:r>
      <w:r>
        <w:rPr>
          <w:rFonts w:hint="eastAsia"/>
          <w:sz w:val="28"/>
        </w:rPr>
        <w:t>白湖村河永州市道县河段划定的管理范围</w:t>
      </w:r>
      <w:r>
        <w:rPr>
          <w:sz w:val="28"/>
        </w:rPr>
        <w:t>进行了</w:t>
      </w:r>
      <w:r>
        <w:rPr>
          <w:rFonts w:hint="eastAsia"/>
          <w:sz w:val="28"/>
        </w:rPr>
        <w:t>纵</w:t>
      </w:r>
      <w:r>
        <w:rPr>
          <w:sz w:val="28"/>
        </w:rPr>
        <w:t>横断面测量</w:t>
      </w:r>
      <w:r>
        <w:rPr>
          <w:rFonts w:hint="eastAsia"/>
          <w:sz w:val="28"/>
        </w:rPr>
        <w:t>，</w:t>
      </w:r>
      <w:r>
        <w:rPr>
          <w:sz w:val="28"/>
        </w:rPr>
        <w:t>共</w:t>
      </w:r>
      <w:r>
        <w:rPr>
          <w:rFonts w:hint="eastAsia"/>
          <w:sz w:val="28"/>
        </w:rPr>
        <w:t>实测河道横断面22个</w:t>
      </w:r>
      <w:r>
        <w:rPr>
          <w:sz w:val="28"/>
        </w:rPr>
        <w:t>。上述横断面能</w:t>
      </w:r>
      <w:r>
        <w:rPr>
          <w:rFonts w:hint="eastAsia"/>
          <w:sz w:val="28"/>
        </w:rPr>
        <w:t>很</w:t>
      </w:r>
      <w:r>
        <w:rPr>
          <w:sz w:val="28"/>
        </w:rPr>
        <w:t>好地反映河道的形态变化，</w:t>
      </w:r>
      <w:r>
        <w:rPr>
          <w:rFonts w:hint="eastAsia"/>
          <w:sz w:val="28"/>
        </w:rPr>
        <w:t>完全能够</w:t>
      </w:r>
      <w:r>
        <w:rPr>
          <w:sz w:val="28"/>
        </w:rPr>
        <w:t>满足本阶段设计的要求</w:t>
      </w:r>
      <w:r>
        <w:rPr>
          <w:rFonts w:hint="eastAsia"/>
          <w:sz w:val="28"/>
        </w:rPr>
        <w:t>。</w:t>
      </w:r>
    </w:p>
    <w:p>
      <w:pPr>
        <w:pStyle w:val="5"/>
        <w:numPr>
          <w:ilvl w:val="2"/>
          <w:numId w:val="0"/>
        </w:numPr>
        <w:rPr>
          <w:b w:val="0"/>
          <w:bCs w:val="0"/>
        </w:rPr>
      </w:pPr>
      <w:bookmarkStart w:id="56" w:name="_Toc6627"/>
      <w:r>
        <w:rPr>
          <w:b w:val="0"/>
          <w:bCs w:val="0"/>
        </w:rPr>
        <w:t>4.3.1</w:t>
      </w:r>
      <w:r>
        <w:rPr>
          <w:rFonts w:hint="eastAsia"/>
          <w:b w:val="0"/>
          <w:bCs w:val="0"/>
        </w:rPr>
        <w:t>.4 设计洪水计算</w:t>
      </w:r>
      <w:bookmarkEnd w:id="56"/>
    </w:p>
    <w:p>
      <w:pPr>
        <w:pStyle w:val="2"/>
        <w:spacing w:line="480" w:lineRule="auto"/>
        <w:ind w:firstLine="480"/>
        <w:rPr>
          <w:sz w:val="28"/>
        </w:rPr>
      </w:pPr>
      <w:r>
        <w:rPr>
          <w:rFonts w:hint="eastAsia"/>
          <w:sz w:val="28"/>
        </w:rPr>
        <w:t>白湖村河道县段控制流域面积相对较小，且该河段内没有较大支流汇入，因此本次设计洪水计算不再进行河流分段。本次计算河段属于小流域，流域内没有水文测站资料，因此只能采用由设计暴雨推求设计洪水的计算方法。</w:t>
      </w:r>
    </w:p>
    <w:p>
      <w:pPr>
        <w:pStyle w:val="5"/>
        <w:numPr>
          <w:ilvl w:val="2"/>
          <w:numId w:val="0"/>
        </w:numPr>
        <w:rPr>
          <w:b w:val="0"/>
          <w:bCs w:val="0"/>
        </w:rPr>
      </w:pPr>
      <w:bookmarkStart w:id="57" w:name="_Toc29138"/>
      <w:r>
        <w:rPr>
          <w:b w:val="0"/>
          <w:bCs w:val="0"/>
        </w:rPr>
        <w:t>4.3.1</w:t>
      </w:r>
      <w:r>
        <w:rPr>
          <w:rFonts w:hint="eastAsia"/>
          <w:b w:val="0"/>
          <w:bCs w:val="0"/>
        </w:rPr>
        <w:t>.4.1</w:t>
      </w:r>
      <w:r>
        <w:rPr>
          <w:b w:val="0"/>
          <w:bCs w:val="0"/>
        </w:rPr>
        <w:t>设计暴雨计算</w:t>
      </w:r>
      <w:bookmarkEnd w:id="57"/>
    </w:p>
    <w:p>
      <w:pPr>
        <w:adjustRightInd w:val="0"/>
        <w:snapToGrid w:val="0"/>
        <w:spacing w:beforeLines="50" w:line="360" w:lineRule="auto"/>
        <w:ind w:firstLine="560" w:firstLineChars="200"/>
        <w:rPr>
          <w:rFonts w:hAnsi="宋体" w:eastAsia="宋体"/>
          <w:bCs/>
          <w:sz w:val="24"/>
        </w:rPr>
      </w:pPr>
      <w:r>
        <w:rPr>
          <w:sz w:val="28"/>
        </w:rPr>
        <w:t>由于</w:t>
      </w:r>
      <w:r>
        <w:rPr>
          <w:rFonts w:hint="eastAsia"/>
          <w:sz w:val="28"/>
        </w:rPr>
        <w:t>白湖村河</w:t>
      </w:r>
      <w:r>
        <w:rPr>
          <w:sz w:val="28"/>
        </w:rPr>
        <w:t>流域内没有实测的水文资料，设计暴雨采用《湖南省暴雨洪水查算手册》（2015版）中等值线图，根据工程所在地理位置查得：项目区平均最大二十四小时暴雨量均1</w:t>
      </w:r>
      <w:r>
        <w:rPr>
          <w:rFonts w:hint="eastAsia"/>
          <w:sz w:val="28"/>
        </w:rPr>
        <w:t>1</w:t>
      </w:r>
      <w:r>
        <w:rPr>
          <w:sz w:val="28"/>
        </w:rPr>
        <w:t>0mm，</w:t>
      </w:r>
      <w:r>
        <w:rPr>
          <w:rFonts w:hint="eastAsia"/>
          <w:sz w:val="28"/>
        </w:rPr>
        <w:t>Cv=0..40，Cs/Cv=3.5。由统计参数计算的设计24h点暴雨量成果如表5。</w:t>
      </w:r>
    </w:p>
    <w:p>
      <w:pPr>
        <w:snapToGrid w:val="0"/>
        <w:spacing w:beforeLines="50" w:line="360" w:lineRule="auto"/>
        <w:rPr>
          <w:b/>
        </w:rPr>
      </w:pPr>
      <w:r>
        <w:rPr>
          <w:rFonts w:hint="eastAsia"/>
          <w:b/>
        </w:rPr>
        <w:t>表5                           最大24h暴雨参数表</w:t>
      </w:r>
    </w:p>
    <w:tbl>
      <w:tblPr>
        <w:tblStyle w:val="22"/>
        <w:tblW w:w="84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46"/>
        <w:gridCol w:w="1149"/>
        <w:gridCol w:w="1200"/>
        <w:gridCol w:w="1021"/>
        <w:gridCol w:w="996"/>
        <w:gridCol w:w="998"/>
        <w:gridCol w:w="996"/>
        <w:gridCol w:w="9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2" w:hRule="atLeast"/>
        </w:trPr>
        <w:tc>
          <w:tcPr>
            <w:tcW w:w="1046" w:type="dxa"/>
            <w:vMerge w:val="restart"/>
            <w:noWrap/>
            <w:vAlign w:val="center"/>
          </w:tcPr>
          <w:p>
            <w:pPr>
              <w:adjustRightInd w:val="0"/>
              <w:snapToGrid w:val="0"/>
              <w:jc w:val="center"/>
              <w:rPr>
                <w:rFonts w:eastAsia="宋体"/>
                <w:szCs w:val="21"/>
              </w:rPr>
            </w:pPr>
            <w:r>
              <w:rPr>
                <w:rFonts w:hAnsi="宋体" w:eastAsia="宋体"/>
                <w:szCs w:val="21"/>
              </w:rPr>
              <w:t>项目名称</w:t>
            </w:r>
          </w:p>
        </w:tc>
        <w:tc>
          <w:tcPr>
            <w:tcW w:w="3370" w:type="dxa"/>
            <w:gridSpan w:val="3"/>
            <w:noWrap/>
            <w:vAlign w:val="center"/>
          </w:tcPr>
          <w:p>
            <w:pPr>
              <w:adjustRightInd w:val="0"/>
              <w:snapToGrid w:val="0"/>
              <w:jc w:val="center"/>
              <w:rPr>
                <w:rFonts w:eastAsia="宋体"/>
                <w:szCs w:val="21"/>
              </w:rPr>
            </w:pPr>
            <w:r>
              <w:rPr>
                <w:rFonts w:hAnsi="宋体" w:eastAsia="宋体"/>
                <w:szCs w:val="21"/>
              </w:rPr>
              <w:t>暴雨参数</w:t>
            </w:r>
          </w:p>
        </w:tc>
        <w:tc>
          <w:tcPr>
            <w:tcW w:w="3984" w:type="dxa"/>
            <w:gridSpan w:val="4"/>
            <w:noWrap/>
            <w:vAlign w:val="center"/>
          </w:tcPr>
          <w:p>
            <w:pPr>
              <w:adjustRightInd w:val="0"/>
              <w:snapToGrid w:val="0"/>
              <w:jc w:val="center"/>
              <w:rPr>
                <w:rFonts w:eastAsia="宋体"/>
                <w:szCs w:val="21"/>
              </w:rPr>
            </w:pPr>
            <w:r>
              <w:rPr>
                <w:rFonts w:hAnsi="宋体" w:eastAsia="宋体"/>
                <w:szCs w:val="21"/>
              </w:rPr>
              <w:t>设计暴雨量（</w:t>
            </w:r>
            <w:r>
              <w:rPr>
                <w:rFonts w:eastAsia="宋体"/>
                <w:szCs w:val="21"/>
              </w:rPr>
              <w:t>mm</w:t>
            </w:r>
            <w:r>
              <w:rPr>
                <w:rFonts w:hAnsi="宋体" w:eastAsia="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3" w:hRule="atLeast"/>
        </w:trPr>
        <w:tc>
          <w:tcPr>
            <w:tcW w:w="1046" w:type="dxa"/>
            <w:vMerge w:val="continue"/>
            <w:noWrap/>
            <w:vAlign w:val="center"/>
          </w:tcPr>
          <w:p>
            <w:pPr>
              <w:adjustRightInd w:val="0"/>
              <w:snapToGrid w:val="0"/>
              <w:jc w:val="center"/>
              <w:rPr>
                <w:rFonts w:eastAsia="宋体"/>
                <w:szCs w:val="21"/>
              </w:rPr>
            </w:pPr>
          </w:p>
        </w:tc>
        <w:tc>
          <w:tcPr>
            <w:tcW w:w="1149" w:type="dxa"/>
            <w:noWrap/>
            <w:vAlign w:val="center"/>
          </w:tcPr>
          <w:p>
            <w:pPr>
              <w:adjustRightInd w:val="0"/>
              <w:snapToGrid w:val="0"/>
              <w:jc w:val="center"/>
              <w:rPr>
                <w:rFonts w:eastAsia="宋体"/>
                <w:szCs w:val="21"/>
              </w:rPr>
            </w:pPr>
            <w:r>
              <w:rPr>
                <w:rFonts w:hAnsi="宋体" w:eastAsia="宋体"/>
                <w:szCs w:val="21"/>
              </w:rPr>
              <w:t>均值（</w:t>
            </w:r>
            <w:r>
              <w:rPr>
                <w:rFonts w:eastAsia="宋体"/>
                <w:szCs w:val="21"/>
              </w:rPr>
              <w:t>mm</w:t>
            </w:r>
            <w:r>
              <w:rPr>
                <w:rFonts w:hAnsi="宋体" w:eastAsia="宋体"/>
                <w:szCs w:val="21"/>
              </w:rPr>
              <w:t>）</w:t>
            </w:r>
          </w:p>
        </w:tc>
        <w:tc>
          <w:tcPr>
            <w:tcW w:w="1200" w:type="dxa"/>
            <w:noWrap/>
            <w:vAlign w:val="center"/>
          </w:tcPr>
          <w:p>
            <w:pPr>
              <w:adjustRightInd w:val="0"/>
              <w:snapToGrid w:val="0"/>
              <w:jc w:val="center"/>
              <w:rPr>
                <w:rFonts w:eastAsia="宋体"/>
                <w:szCs w:val="21"/>
              </w:rPr>
            </w:pPr>
            <w:r>
              <w:rPr>
                <w:rFonts w:eastAsia="宋体"/>
                <w:szCs w:val="21"/>
              </w:rPr>
              <w:t>C</w:t>
            </w:r>
            <w:r>
              <w:rPr>
                <w:rFonts w:eastAsia="宋体"/>
                <w:szCs w:val="21"/>
                <w:vertAlign w:val="subscript"/>
              </w:rPr>
              <w:t>v</w:t>
            </w:r>
          </w:p>
        </w:tc>
        <w:tc>
          <w:tcPr>
            <w:tcW w:w="1021" w:type="dxa"/>
            <w:noWrap/>
            <w:vAlign w:val="center"/>
          </w:tcPr>
          <w:p>
            <w:pPr>
              <w:adjustRightInd w:val="0"/>
              <w:snapToGrid w:val="0"/>
              <w:jc w:val="center"/>
              <w:rPr>
                <w:rFonts w:eastAsia="宋体"/>
                <w:szCs w:val="21"/>
              </w:rPr>
            </w:pPr>
            <w:r>
              <w:rPr>
                <w:rFonts w:eastAsia="宋体"/>
                <w:szCs w:val="21"/>
              </w:rPr>
              <w:t>C</w:t>
            </w:r>
            <w:r>
              <w:rPr>
                <w:rFonts w:eastAsia="宋体"/>
                <w:szCs w:val="21"/>
                <w:vertAlign w:val="subscript"/>
              </w:rPr>
              <w:t>s</w:t>
            </w:r>
            <w:r>
              <w:rPr>
                <w:rFonts w:eastAsia="宋体"/>
                <w:szCs w:val="21"/>
              </w:rPr>
              <w:t>/C</w:t>
            </w:r>
            <w:r>
              <w:rPr>
                <w:rFonts w:eastAsia="宋体"/>
                <w:szCs w:val="21"/>
                <w:vertAlign w:val="subscript"/>
              </w:rPr>
              <w:t>v</w:t>
            </w:r>
          </w:p>
        </w:tc>
        <w:tc>
          <w:tcPr>
            <w:tcW w:w="996" w:type="dxa"/>
            <w:noWrap/>
            <w:vAlign w:val="center"/>
          </w:tcPr>
          <w:p>
            <w:pPr>
              <w:adjustRightInd w:val="0"/>
              <w:snapToGrid w:val="0"/>
              <w:jc w:val="center"/>
              <w:rPr>
                <w:rFonts w:eastAsia="宋体"/>
                <w:szCs w:val="21"/>
              </w:rPr>
            </w:pPr>
            <w:r>
              <w:rPr>
                <w:rFonts w:eastAsia="宋体"/>
                <w:szCs w:val="21"/>
              </w:rPr>
              <w:t>P=1%</w:t>
            </w:r>
          </w:p>
        </w:tc>
        <w:tc>
          <w:tcPr>
            <w:tcW w:w="998" w:type="dxa"/>
            <w:noWrap/>
            <w:vAlign w:val="center"/>
          </w:tcPr>
          <w:p>
            <w:pPr>
              <w:adjustRightInd w:val="0"/>
              <w:snapToGrid w:val="0"/>
              <w:jc w:val="center"/>
              <w:rPr>
                <w:rFonts w:eastAsia="宋体"/>
                <w:szCs w:val="21"/>
              </w:rPr>
            </w:pPr>
            <w:r>
              <w:rPr>
                <w:rFonts w:eastAsia="宋体"/>
                <w:szCs w:val="21"/>
              </w:rPr>
              <w:t>P=2%</w:t>
            </w:r>
          </w:p>
        </w:tc>
        <w:tc>
          <w:tcPr>
            <w:tcW w:w="996" w:type="dxa"/>
            <w:noWrap/>
            <w:vAlign w:val="center"/>
          </w:tcPr>
          <w:p>
            <w:pPr>
              <w:adjustRightInd w:val="0"/>
              <w:snapToGrid w:val="0"/>
              <w:jc w:val="center"/>
              <w:rPr>
                <w:rFonts w:eastAsia="宋体"/>
                <w:szCs w:val="21"/>
              </w:rPr>
            </w:pPr>
            <w:r>
              <w:rPr>
                <w:rFonts w:eastAsia="宋体"/>
                <w:szCs w:val="21"/>
              </w:rPr>
              <w:t>P=5%</w:t>
            </w:r>
          </w:p>
        </w:tc>
        <w:tc>
          <w:tcPr>
            <w:tcW w:w="994" w:type="dxa"/>
            <w:noWrap/>
            <w:vAlign w:val="center"/>
          </w:tcPr>
          <w:p>
            <w:pPr>
              <w:adjustRightInd w:val="0"/>
              <w:snapToGrid w:val="0"/>
              <w:jc w:val="center"/>
              <w:rPr>
                <w:rFonts w:eastAsia="宋体"/>
                <w:szCs w:val="21"/>
              </w:rPr>
            </w:pPr>
            <w:r>
              <w:rPr>
                <w:rFonts w:eastAsia="宋体"/>
                <w:szCs w:val="21"/>
              </w:rPr>
              <w:t>P=10%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trPr>
        <w:tc>
          <w:tcPr>
            <w:tcW w:w="1046" w:type="dxa"/>
            <w:noWrap/>
            <w:vAlign w:val="center"/>
          </w:tcPr>
          <w:p>
            <w:pPr>
              <w:adjustRightInd w:val="0"/>
              <w:snapToGrid w:val="0"/>
              <w:jc w:val="center"/>
              <w:rPr>
                <w:rFonts w:eastAsia="宋体"/>
                <w:szCs w:val="21"/>
              </w:rPr>
            </w:pPr>
            <w:r>
              <w:rPr>
                <w:rFonts w:hAnsi="宋体" w:eastAsia="宋体"/>
                <w:szCs w:val="21"/>
              </w:rPr>
              <w:t>暴雨手册</w:t>
            </w:r>
          </w:p>
        </w:tc>
        <w:tc>
          <w:tcPr>
            <w:tcW w:w="1149" w:type="dxa"/>
            <w:noWrap/>
            <w:vAlign w:val="center"/>
          </w:tcPr>
          <w:p>
            <w:pPr>
              <w:adjustRightInd w:val="0"/>
              <w:snapToGrid w:val="0"/>
              <w:jc w:val="center"/>
              <w:rPr>
                <w:rFonts w:eastAsia="宋体"/>
                <w:szCs w:val="21"/>
              </w:rPr>
            </w:pPr>
            <w:r>
              <w:rPr>
                <w:rFonts w:eastAsia="宋体"/>
                <w:szCs w:val="21"/>
              </w:rPr>
              <w:t>1</w:t>
            </w:r>
            <w:r>
              <w:rPr>
                <w:rFonts w:hint="eastAsia"/>
                <w:szCs w:val="21"/>
              </w:rPr>
              <w:t>1</w:t>
            </w:r>
            <w:r>
              <w:rPr>
                <w:rFonts w:hint="eastAsia" w:eastAsia="宋体"/>
                <w:szCs w:val="21"/>
              </w:rPr>
              <w:t>0.0</w:t>
            </w:r>
          </w:p>
        </w:tc>
        <w:tc>
          <w:tcPr>
            <w:tcW w:w="1200" w:type="dxa"/>
            <w:noWrap/>
            <w:vAlign w:val="center"/>
          </w:tcPr>
          <w:p>
            <w:pPr>
              <w:adjustRightInd w:val="0"/>
              <w:snapToGrid w:val="0"/>
              <w:jc w:val="center"/>
              <w:rPr>
                <w:rFonts w:eastAsia="宋体"/>
                <w:szCs w:val="21"/>
              </w:rPr>
            </w:pPr>
            <w:r>
              <w:rPr>
                <w:rFonts w:eastAsia="宋体"/>
                <w:szCs w:val="21"/>
              </w:rPr>
              <w:t>0.</w:t>
            </w:r>
            <w:r>
              <w:rPr>
                <w:rFonts w:hint="eastAsia"/>
                <w:szCs w:val="21"/>
              </w:rPr>
              <w:t>35</w:t>
            </w:r>
          </w:p>
        </w:tc>
        <w:tc>
          <w:tcPr>
            <w:tcW w:w="1021" w:type="dxa"/>
            <w:noWrap/>
            <w:vAlign w:val="center"/>
          </w:tcPr>
          <w:p>
            <w:pPr>
              <w:adjustRightInd w:val="0"/>
              <w:snapToGrid w:val="0"/>
              <w:jc w:val="center"/>
              <w:rPr>
                <w:rFonts w:eastAsia="宋体"/>
                <w:szCs w:val="21"/>
              </w:rPr>
            </w:pPr>
            <w:r>
              <w:rPr>
                <w:rFonts w:eastAsia="宋体"/>
                <w:szCs w:val="21"/>
              </w:rPr>
              <w:t>3.5</w:t>
            </w:r>
          </w:p>
        </w:tc>
        <w:tc>
          <w:tcPr>
            <w:tcW w:w="996" w:type="dxa"/>
            <w:noWrap/>
            <w:vAlign w:val="center"/>
          </w:tcPr>
          <w:p>
            <w:pPr>
              <w:adjustRightInd w:val="0"/>
              <w:snapToGrid w:val="0"/>
              <w:jc w:val="center"/>
              <w:rPr>
                <w:rFonts w:eastAsia="宋体"/>
                <w:szCs w:val="21"/>
              </w:rPr>
            </w:pPr>
            <w:r>
              <w:rPr>
                <w:rFonts w:eastAsia="宋体"/>
                <w:szCs w:val="21"/>
              </w:rPr>
              <w:t>2</w:t>
            </w:r>
            <w:r>
              <w:rPr>
                <w:rFonts w:hint="eastAsia"/>
                <w:szCs w:val="21"/>
              </w:rPr>
              <w:t>32.1</w:t>
            </w:r>
          </w:p>
        </w:tc>
        <w:tc>
          <w:tcPr>
            <w:tcW w:w="998" w:type="dxa"/>
            <w:noWrap/>
            <w:vAlign w:val="center"/>
          </w:tcPr>
          <w:p>
            <w:pPr>
              <w:adjustRightInd w:val="0"/>
              <w:snapToGrid w:val="0"/>
              <w:jc w:val="center"/>
              <w:rPr>
                <w:rFonts w:eastAsia="宋体"/>
                <w:szCs w:val="21"/>
              </w:rPr>
            </w:pPr>
            <w:r>
              <w:rPr>
                <w:rFonts w:hint="eastAsia"/>
                <w:szCs w:val="21"/>
              </w:rPr>
              <w:t>211.2</w:t>
            </w:r>
          </w:p>
        </w:tc>
        <w:tc>
          <w:tcPr>
            <w:tcW w:w="996" w:type="dxa"/>
            <w:noWrap/>
            <w:vAlign w:val="center"/>
          </w:tcPr>
          <w:p>
            <w:pPr>
              <w:adjustRightInd w:val="0"/>
              <w:snapToGrid w:val="0"/>
              <w:jc w:val="center"/>
              <w:rPr>
                <w:rFonts w:eastAsia="宋体"/>
                <w:szCs w:val="21"/>
              </w:rPr>
            </w:pPr>
            <w:r>
              <w:rPr>
                <w:rFonts w:eastAsia="宋体"/>
                <w:szCs w:val="21"/>
              </w:rPr>
              <w:t>1</w:t>
            </w:r>
            <w:r>
              <w:rPr>
                <w:rFonts w:hint="eastAsia"/>
                <w:szCs w:val="21"/>
              </w:rPr>
              <w:t>83.7</w:t>
            </w:r>
          </w:p>
        </w:tc>
        <w:tc>
          <w:tcPr>
            <w:tcW w:w="994" w:type="dxa"/>
            <w:noWrap/>
            <w:vAlign w:val="center"/>
          </w:tcPr>
          <w:p>
            <w:pPr>
              <w:adjustRightInd w:val="0"/>
              <w:snapToGrid w:val="0"/>
              <w:jc w:val="center"/>
              <w:rPr>
                <w:rFonts w:eastAsia="宋体"/>
                <w:szCs w:val="21"/>
              </w:rPr>
            </w:pPr>
            <w:r>
              <w:rPr>
                <w:rFonts w:eastAsia="宋体"/>
                <w:szCs w:val="21"/>
              </w:rPr>
              <w:t>1</w:t>
            </w:r>
            <w:r>
              <w:rPr>
                <w:rFonts w:hint="eastAsia"/>
                <w:szCs w:val="21"/>
              </w:rPr>
              <w:t>61.7</w:t>
            </w:r>
          </w:p>
        </w:tc>
      </w:tr>
    </w:tbl>
    <w:p>
      <w:pPr>
        <w:pStyle w:val="5"/>
        <w:numPr>
          <w:ilvl w:val="2"/>
          <w:numId w:val="0"/>
        </w:numPr>
        <w:rPr>
          <w:b w:val="0"/>
          <w:bCs w:val="0"/>
        </w:rPr>
      </w:pPr>
      <w:bookmarkStart w:id="58" w:name="_Toc8685"/>
      <w:bookmarkStart w:id="59" w:name="_Toc1664"/>
      <w:r>
        <w:rPr>
          <w:rFonts w:hint="eastAsia"/>
          <w:b w:val="0"/>
          <w:bCs w:val="0"/>
        </w:rPr>
        <w:t>4.3.1.4.2设计净雨计算</w:t>
      </w:r>
      <w:bookmarkEnd w:id="58"/>
      <w:bookmarkEnd w:id="59"/>
    </w:p>
    <w:p>
      <w:pPr>
        <w:pStyle w:val="2"/>
        <w:spacing w:line="480" w:lineRule="auto"/>
        <w:ind w:firstLine="565" w:firstLineChars="202"/>
        <w:rPr>
          <w:sz w:val="28"/>
        </w:rPr>
      </w:pPr>
      <w:r>
        <w:rPr>
          <w:sz w:val="28"/>
          <w:lang w:val="zh-CN"/>
        </w:rPr>
        <w:t>根据《湖南省暴雨洪水查算手册》知本次项目区属暴雨一致区第</w:t>
      </w:r>
      <w:r>
        <w:rPr>
          <w:sz w:val="28"/>
        </w:rPr>
        <w:t>3</w:t>
      </w:r>
      <w:r>
        <w:rPr>
          <w:sz w:val="28"/>
          <w:lang w:val="zh-CN"/>
        </w:rPr>
        <w:t>区</w:t>
      </w:r>
      <w:r>
        <w:rPr>
          <w:rFonts w:hint="eastAsia"/>
          <w:sz w:val="28"/>
          <w:lang w:val="zh-CN"/>
        </w:rPr>
        <w:t>，</w:t>
      </w:r>
      <w:r>
        <w:rPr>
          <w:sz w:val="28"/>
          <w:lang w:val="zh-CN"/>
        </w:rPr>
        <w:t>依据集雨面积，查得其相应的点面关系系数，由此可得</w:t>
      </w:r>
      <w:r>
        <w:rPr>
          <w:sz w:val="28"/>
        </w:rPr>
        <w:t>10</w:t>
      </w:r>
      <w:r>
        <w:rPr>
          <w:sz w:val="28"/>
          <w:lang w:val="zh-CN"/>
        </w:rPr>
        <w:t>年一遇</w:t>
      </w:r>
      <w:r>
        <w:rPr>
          <w:sz w:val="28"/>
        </w:rPr>
        <w:t>24h</w:t>
      </w:r>
      <w:r>
        <w:rPr>
          <w:sz w:val="28"/>
          <w:lang w:val="zh-CN"/>
        </w:rPr>
        <w:t>面暴雨量。</w:t>
      </w:r>
    </w:p>
    <w:p>
      <w:pPr>
        <w:pStyle w:val="2"/>
        <w:spacing w:line="480" w:lineRule="auto"/>
        <w:ind w:firstLine="565" w:firstLineChars="202"/>
        <w:rPr>
          <w:sz w:val="28"/>
        </w:rPr>
      </w:pPr>
      <w:r>
        <w:rPr>
          <w:sz w:val="28"/>
          <w:lang w:val="zh-CN"/>
        </w:rPr>
        <w:t>由</w:t>
      </w:r>
      <w:r>
        <w:rPr>
          <w:sz w:val="28"/>
        </w:rPr>
        <w:t>24h</w:t>
      </w:r>
      <w:r>
        <w:rPr>
          <w:sz w:val="28"/>
          <w:lang w:val="zh-CN"/>
        </w:rPr>
        <w:t>设计面暴雨量推求短历时设计暴雨量，参照《湖南省暴雨洪水查算手册》，最大</w:t>
      </w:r>
      <w:r>
        <w:rPr>
          <w:sz w:val="28"/>
        </w:rPr>
        <w:t>1</w:t>
      </w:r>
      <w:r>
        <w:rPr>
          <w:sz w:val="28"/>
          <w:lang w:val="zh-CN"/>
        </w:rPr>
        <w:t>～</w:t>
      </w:r>
      <w:r>
        <w:rPr>
          <w:sz w:val="28"/>
        </w:rPr>
        <w:t>6</w:t>
      </w:r>
      <w:r>
        <w:rPr>
          <w:sz w:val="28"/>
          <w:lang w:val="zh-CN"/>
        </w:rPr>
        <w:t>小时暴雨的时程分配公式为：</w:t>
      </w:r>
    </w:p>
    <w:p>
      <w:pPr>
        <w:pStyle w:val="2"/>
        <w:spacing w:line="480" w:lineRule="auto"/>
        <w:ind w:firstLine="565" w:firstLineChars="202"/>
        <w:rPr>
          <w:sz w:val="28"/>
        </w:rPr>
      </w:pPr>
      <w:r>
        <w:rPr>
          <w:sz w:val="28"/>
        </w:rPr>
        <w:t>H</w:t>
      </w:r>
      <w:r>
        <w:rPr>
          <w:sz w:val="28"/>
          <w:vertAlign w:val="subscript"/>
        </w:rPr>
        <w:t>t</w:t>
      </w:r>
      <w:r>
        <w:rPr>
          <w:sz w:val="28"/>
        </w:rPr>
        <w:t>=H</w:t>
      </w:r>
      <w:r>
        <w:rPr>
          <w:sz w:val="28"/>
          <w:vertAlign w:val="subscript"/>
        </w:rPr>
        <w:t>24</w:t>
      </w:r>
      <w:r>
        <w:rPr>
          <w:sz w:val="28"/>
        </w:rPr>
        <w:t>×24</w:t>
      </w:r>
      <w:r>
        <w:rPr>
          <w:sz w:val="28"/>
          <w:vertAlign w:val="superscript"/>
        </w:rPr>
        <w:t>n3-1</w:t>
      </w:r>
      <w:r>
        <w:rPr>
          <w:sz w:val="28"/>
        </w:rPr>
        <w:t>×6</w:t>
      </w:r>
      <w:r>
        <w:rPr>
          <w:sz w:val="28"/>
          <w:vertAlign w:val="superscript"/>
        </w:rPr>
        <w:t>n2-n3</w:t>
      </w:r>
      <w:r>
        <w:rPr>
          <w:sz w:val="28"/>
        </w:rPr>
        <w:t>×t</w:t>
      </w:r>
      <w:r>
        <w:rPr>
          <w:sz w:val="28"/>
          <w:vertAlign w:val="superscript"/>
        </w:rPr>
        <w:t>1-n2</w:t>
      </w:r>
    </w:p>
    <w:p>
      <w:pPr>
        <w:pStyle w:val="2"/>
        <w:spacing w:line="480" w:lineRule="auto"/>
        <w:ind w:firstLine="565" w:firstLineChars="202"/>
        <w:rPr>
          <w:sz w:val="28"/>
          <w:lang w:val="zh-CN"/>
        </w:rPr>
      </w:pPr>
      <w:r>
        <w:rPr>
          <w:sz w:val="28"/>
          <w:lang w:val="zh-CN"/>
        </w:rPr>
        <w:t>最大6～24小时暴雨的时程分配公式为：</w:t>
      </w:r>
    </w:p>
    <w:p>
      <w:pPr>
        <w:pStyle w:val="2"/>
        <w:spacing w:line="480" w:lineRule="auto"/>
        <w:ind w:firstLine="565" w:firstLineChars="202"/>
        <w:rPr>
          <w:sz w:val="28"/>
          <w:lang w:val="zh-CN"/>
        </w:rPr>
      </w:pPr>
      <w:r>
        <w:rPr>
          <w:sz w:val="28"/>
          <w:lang w:val="zh-CN"/>
        </w:rPr>
        <w:t>H</w:t>
      </w:r>
      <w:r>
        <w:rPr>
          <w:sz w:val="28"/>
          <w:vertAlign w:val="subscript"/>
          <w:lang w:val="zh-CN"/>
        </w:rPr>
        <w:t>t</w:t>
      </w:r>
      <w:r>
        <w:rPr>
          <w:sz w:val="28"/>
          <w:lang w:val="zh-CN"/>
        </w:rPr>
        <w:t>=H</w:t>
      </w:r>
      <w:r>
        <w:rPr>
          <w:sz w:val="28"/>
          <w:vertAlign w:val="subscript"/>
          <w:lang w:val="zh-CN"/>
        </w:rPr>
        <w:t>24</w:t>
      </w:r>
      <w:r>
        <w:rPr>
          <w:sz w:val="28"/>
          <w:lang w:val="zh-CN"/>
        </w:rPr>
        <w:t>×24</w:t>
      </w:r>
      <w:r>
        <w:rPr>
          <w:sz w:val="28"/>
          <w:vertAlign w:val="superscript"/>
          <w:lang w:val="zh-CN"/>
        </w:rPr>
        <w:t>n3-1</w:t>
      </w:r>
      <w:r>
        <w:rPr>
          <w:sz w:val="28"/>
          <w:lang w:val="zh-CN"/>
        </w:rPr>
        <w:t>×t</w:t>
      </w:r>
      <w:r>
        <w:rPr>
          <w:sz w:val="28"/>
          <w:vertAlign w:val="superscript"/>
          <w:lang w:val="zh-CN"/>
        </w:rPr>
        <w:t>1-n3</w:t>
      </w:r>
    </w:p>
    <w:p>
      <w:pPr>
        <w:pStyle w:val="2"/>
        <w:spacing w:line="480" w:lineRule="auto"/>
        <w:ind w:firstLine="565" w:firstLineChars="202"/>
        <w:rPr>
          <w:sz w:val="28"/>
          <w:lang w:val="zh-CN"/>
        </w:rPr>
      </w:pPr>
      <w:r>
        <w:rPr>
          <w:sz w:val="28"/>
          <w:lang w:val="zh-CN"/>
        </w:rPr>
        <w:t>式中：H</w:t>
      </w:r>
      <w:r>
        <w:rPr>
          <w:sz w:val="28"/>
          <w:vertAlign w:val="subscript"/>
          <w:lang w:val="zh-CN"/>
        </w:rPr>
        <w:t>t</w:t>
      </w:r>
      <w:r>
        <w:rPr>
          <w:sz w:val="28"/>
          <w:lang w:val="zh-CN"/>
        </w:rPr>
        <w:t>─1～24小时内任一t时段的暴雨量；</w:t>
      </w:r>
    </w:p>
    <w:p>
      <w:pPr>
        <w:pStyle w:val="2"/>
        <w:spacing w:line="480" w:lineRule="auto"/>
        <w:ind w:firstLine="565" w:firstLineChars="202"/>
        <w:rPr>
          <w:sz w:val="28"/>
          <w:lang w:val="zh-CN"/>
        </w:rPr>
      </w:pPr>
      <w:r>
        <w:rPr>
          <w:sz w:val="28"/>
          <w:lang w:val="zh-CN"/>
        </w:rPr>
        <w:t>n</w:t>
      </w:r>
      <w:r>
        <w:rPr>
          <w:sz w:val="28"/>
          <w:vertAlign w:val="subscript"/>
          <w:lang w:val="zh-CN"/>
        </w:rPr>
        <w:t>2</w:t>
      </w:r>
      <w:r>
        <w:rPr>
          <w:sz w:val="28"/>
          <w:lang w:val="zh-CN"/>
        </w:rPr>
        <w:t>、n</w:t>
      </w:r>
      <w:r>
        <w:rPr>
          <w:sz w:val="28"/>
          <w:vertAlign w:val="subscript"/>
          <w:lang w:val="zh-CN"/>
        </w:rPr>
        <w:t>3</w:t>
      </w:r>
      <w:r>
        <w:rPr>
          <w:sz w:val="28"/>
          <w:lang w:val="zh-CN"/>
        </w:rPr>
        <w:t>─依地理位置、集雨面积及降雨量而变的参数；</w:t>
      </w:r>
    </w:p>
    <w:p>
      <w:pPr>
        <w:pStyle w:val="2"/>
        <w:spacing w:line="480" w:lineRule="auto"/>
        <w:ind w:firstLine="565" w:firstLineChars="202"/>
        <w:rPr>
          <w:sz w:val="28"/>
          <w:lang w:val="zh-CN"/>
        </w:rPr>
      </w:pPr>
      <w:r>
        <w:rPr>
          <w:sz w:val="28"/>
          <w:lang w:val="zh-CN"/>
        </w:rPr>
        <w:t>t─对应H</w:t>
      </w:r>
      <w:r>
        <w:rPr>
          <w:sz w:val="28"/>
          <w:vertAlign w:val="subscript"/>
          <w:lang w:val="zh-CN"/>
        </w:rPr>
        <w:t>t</w:t>
      </w:r>
      <w:r>
        <w:rPr>
          <w:sz w:val="28"/>
          <w:lang w:val="zh-CN"/>
        </w:rPr>
        <w:t>的时间。</w:t>
      </w:r>
    </w:p>
    <w:p>
      <w:pPr>
        <w:pStyle w:val="2"/>
        <w:spacing w:line="480" w:lineRule="auto"/>
        <w:ind w:firstLine="565" w:firstLineChars="202"/>
        <w:rPr>
          <w:sz w:val="28"/>
          <w:lang w:val="zh-CN"/>
        </w:rPr>
      </w:pPr>
      <w:r>
        <w:rPr>
          <w:sz w:val="28"/>
          <w:lang w:val="zh-CN"/>
        </w:rPr>
        <w:t>地面总径流深按下式计算：</w:t>
      </w:r>
    </w:p>
    <w:p>
      <w:pPr>
        <w:pStyle w:val="2"/>
        <w:spacing w:line="480" w:lineRule="auto"/>
        <w:ind w:firstLine="565" w:firstLineChars="202"/>
        <w:rPr>
          <w:sz w:val="28"/>
          <w:lang w:val="zh-CN"/>
        </w:rPr>
      </w:pPr>
      <w:r>
        <w:rPr>
          <w:sz w:val="28"/>
          <w:lang w:val="zh-CN"/>
        </w:rPr>
        <w:t xml:space="preserve">          R</w:t>
      </w:r>
      <w:r>
        <w:rPr>
          <w:sz w:val="28"/>
          <w:vertAlign w:val="subscript"/>
          <w:lang w:val="zh-CN"/>
        </w:rPr>
        <w:t>上</w:t>
      </w:r>
      <w:r>
        <w:rPr>
          <w:sz w:val="28"/>
          <w:lang w:val="zh-CN"/>
        </w:rPr>
        <w:t>=ψ×R</w:t>
      </w:r>
      <w:r>
        <w:rPr>
          <w:sz w:val="28"/>
          <w:vertAlign w:val="subscript"/>
          <w:lang w:val="zh-CN"/>
        </w:rPr>
        <w:t>总</w:t>
      </w:r>
    </w:p>
    <w:p>
      <w:pPr>
        <w:pStyle w:val="2"/>
        <w:spacing w:line="480" w:lineRule="auto"/>
        <w:ind w:firstLine="565" w:firstLineChars="202"/>
        <w:rPr>
          <w:sz w:val="28"/>
          <w:lang w:val="zh-CN"/>
        </w:rPr>
      </w:pPr>
      <w:r>
        <w:rPr>
          <w:sz w:val="28"/>
          <w:lang w:val="zh-CN"/>
        </w:rPr>
        <w:t>式中：R</w:t>
      </w:r>
      <w:r>
        <w:rPr>
          <w:sz w:val="28"/>
          <w:vertAlign w:val="subscript"/>
          <w:lang w:val="zh-CN"/>
        </w:rPr>
        <w:t>上</w:t>
      </w:r>
      <w:r>
        <w:rPr>
          <w:sz w:val="28"/>
          <w:lang w:val="zh-CN"/>
        </w:rPr>
        <w:t>─地表径流深，mm；</w:t>
      </w:r>
    </w:p>
    <w:p>
      <w:pPr>
        <w:pStyle w:val="2"/>
        <w:spacing w:line="480" w:lineRule="auto"/>
        <w:ind w:firstLine="565" w:firstLineChars="202"/>
        <w:rPr>
          <w:sz w:val="28"/>
          <w:lang w:val="zh-CN"/>
        </w:rPr>
      </w:pPr>
      <w:r>
        <w:rPr>
          <w:sz w:val="28"/>
          <w:lang w:val="zh-CN"/>
        </w:rPr>
        <w:t xml:space="preserve">      ψ─地表径流占总径流的比值；</w:t>
      </w:r>
    </w:p>
    <w:p>
      <w:pPr>
        <w:pStyle w:val="2"/>
        <w:spacing w:line="480" w:lineRule="auto"/>
        <w:ind w:firstLine="565" w:firstLineChars="202"/>
        <w:rPr>
          <w:sz w:val="28"/>
          <w:lang w:val="zh-CN"/>
        </w:rPr>
      </w:pPr>
      <w:r>
        <w:rPr>
          <w:sz w:val="28"/>
          <w:lang w:val="zh-CN"/>
        </w:rPr>
        <w:t xml:space="preserve">      R</w:t>
      </w:r>
      <w:r>
        <w:rPr>
          <w:sz w:val="28"/>
          <w:vertAlign w:val="subscript"/>
          <w:lang w:val="zh-CN"/>
        </w:rPr>
        <w:t>总</w:t>
      </w:r>
      <w:r>
        <w:rPr>
          <w:sz w:val="28"/>
          <w:lang w:val="zh-CN"/>
        </w:rPr>
        <w:t>─总径流深，mm。</w:t>
      </w:r>
    </w:p>
    <w:p>
      <w:pPr>
        <w:pStyle w:val="4"/>
        <w:keepNext w:val="0"/>
        <w:keepLines w:val="0"/>
        <w:numPr>
          <w:ilvl w:val="1"/>
          <w:numId w:val="0"/>
        </w:numPr>
        <w:spacing w:beforeLines="50" w:line="360" w:lineRule="auto"/>
        <w:ind w:left="-576" w:firstLine="640" w:firstLineChars="200"/>
        <w:rPr>
          <w:rFonts w:asciiTheme="minorHAnsi" w:hAnsiTheme="minorHAnsi" w:eastAsiaTheme="minorEastAsia" w:cstheme="minorBidi"/>
          <w:b w:val="0"/>
          <w:bCs w:val="0"/>
        </w:rPr>
      </w:pPr>
      <w:bookmarkStart w:id="60" w:name="_Toc2272"/>
      <w:bookmarkStart w:id="61" w:name="_Toc14550"/>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.4.3设计净雨分配过程</w:t>
      </w:r>
      <w:bookmarkEnd w:id="60"/>
      <w:bookmarkEnd w:id="61"/>
    </w:p>
    <w:p>
      <w:pPr>
        <w:pStyle w:val="2"/>
        <w:spacing w:line="480" w:lineRule="auto"/>
        <w:ind w:firstLine="565" w:firstLineChars="202"/>
        <w:rPr>
          <w:sz w:val="28"/>
          <w:lang w:val="zh-CN"/>
        </w:rPr>
      </w:pPr>
      <w:r>
        <w:rPr>
          <w:sz w:val="28"/>
          <w:lang w:val="zh-CN"/>
        </w:rPr>
        <w:t>根据项目区的地理位置查《湖南省暴雨洪水查算手册》</w:t>
      </w:r>
      <w:r>
        <w:rPr>
          <w:rFonts w:hint="eastAsia"/>
          <w:sz w:val="28"/>
        </w:rPr>
        <w:t>(2015版)</w:t>
      </w:r>
      <w:r>
        <w:rPr>
          <w:sz w:val="28"/>
          <w:lang w:val="zh-CN"/>
        </w:rPr>
        <w:t>，本工程属产流分区第</w:t>
      </w:r>
      <w:r>
        <w:rPr>
          <w:rFonts w:hint="eastAsia"/>
          <w:sz w:val="28"/>
          <w:lang w:val="zh-CN"/>
        </w:rPr>
        <w:t>Ⅱ</w:t>
      </w:r>
      <w:r>
        <w:rPr>
          <w:sz w:val="28"/>
          <w:lang w:val="zh-CN"/>
        </w:rPr>
        <w:t>区，降雨初损为I</w:t>
      </w:r>
      <w:r>
        <w:rPr>
          <w:sz w:val="28"/>
          <w:vertAlign w:val="subscript"/>
          <w:lang w:val="zh-CN"/>
        </w:rPr>
        <w:t>0</w:t>
      </w:r>
      <w:r>
        <w:rPr>
          <w:sz w:val="28"/>
          <w:lang w:val="zh-CN"/>
        </w:rPr>
        <w:t>=3</w:t>
      </w:r>
      <w:r>
        <w:rPr>
          <w:rFonts w:hint="eastAsia"/>
          <w:sz w:val="28"/>
        </w:rPr>
        <w:t>2</w:t>
      </w:r>
      <w:r>
        <w:rPr>
          <w:sz w:val="28"/>
          <w:lang w:val="zh-CN"/>
        </w:rPr>
        <w:t>mm。设计净雨分配过程采用第</w:t>
      </w:r>
      <w:r>
        <w:rPr>
          <w:rFonts w:hint="eastAsia"/>
          <w:sz w:val="28"/>
          <w:lang w:val="zh-CN"/>
        </w:rPr>
        <w:t>3</w:t>
      </w:r>
      <w:r>
        <w:rPr>
          <w:sz w:val="28"/>
          <w:lang w:val="zh-CN"/>
        </w:rPr>
        <w:t>区概化雨型时程分配表进行计算。</w:t>
      </w:r>
    </w:p>
    <w:p>
      <w:pPr>
        <w:pStyle w:val="4"/>
        <w:keepNext w:val="0"/>
        <w:keepLines w:val="0"/>
        <w:numPr>
          <w:ilvl w:val="1"/>
          <w:numId w:val="0"/>
        </w:numPr>
        <w:spacing w:beforeLines="50" w:line="360" w:lineRule="auto"/>
        <w:ind w:left="-576" w:firstLine="640" w:firstLineChars="200"/>
        <w:rPr>
          <w:rFonts w:asciiTheme="minorHAnsi" w:hAnsiTheme="minorHAnsi" w:eastAsiaTheme="minorEastAsia" w:cstheme="minorBidi"/>
          <w:b w:val="0"/>
          <w:bCs w:val="0"/>
        </w:rPr>
      </w:pPr>
      <w:bookmarkStart w:id="62" w:name="_Toc20892"/>
      <w:bookmarkStart w:id="63" w:name="_Toc2673"/>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.4.4设计洪峰流量</w:t>
      </w:r>
      <w:bookmarkEnd w:id="62"/>
      <w:bookmarkEnd w:id="63"/>
    </w:p>
    <w:p>
      <w:pPr>
        <w:snapToGrid w:val="0"/>
        <w:spacing w:beforeLines="50" w:line="360" w:lineRule="auto"/>
        <w:ind w:firstLine="560" w:firstLineChars="200"/>
        <w:rPr>
          <w:sz w:val="28"/>
        </w:rPr>
      </w:pPr>
      <w:r>
        <w:rPr>
          <w:rFonts w:hint="eastAsia"/>
          <w:sz w:val="28"/>
        </w:rPr>
        <w:t>本次设计采用推理公式法和综合无因次单位法两种方法分别推求。</w:t>
      </w:r>
    </w:p>
    <w:p>
      <w:pPr>
        <w:numPr>
          <w:ilvl w:val="0"/>
          <w:numId w:val="2"/>
        </w:numPr>
        <w:snapToGrid w:val="0"/>
        <w:spacing w:beforeLines="50" w:line="360" w:lineRule="auto"/>
        <w:ind w:firstLine="560" w:firstLineChars="200"/>
        <w:rPr>
          <w:sz w:val="28"/>
        </w:rPr>
      </w:pPr>
      <w:r>
        <w:rPr>
          <w:rFonts w:hint="eastAsia"/>
          <w:sz w:val="28"/>
        </w:rPr>
        <w:t>推理公式法</w:t>
      </w:r>
    </w:p>
    <w:p>
      <w:pPr>
        <w:adjustRightInd w:val="0"/>
        <w:snapToGrid w:val="0"/>
        <w:spacing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地表径流洪峰流量Q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和汇流时间τ可由以下公式计算：</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=0.278×F×R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w:t>
      </w:r>
    </w:p>
    <w:p>
      <w:pPr>
        <w:adjustRightInd w:val="0"/>
        <w:snapToGrid w:val="0"/>
        <w:spacing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 xml:space="preserve">      τ=0.278×L/(m×J</w:t>
      </w:r>
      <w:r>
        <w:rPr>
          <w:rFonts w:hint="eastAsia" w:asciiTheme="minorEastAsia" w:hAnsiTheme="minorEastAsia" w:cstheme="minorEastAsia"/>
          <w:sz w:val="28"/>
          <w:szCs w:val="28"/>
          <w:vertAlign w:val="superscript"/>
        </w:rPr>
        <w:t>1/3</w:t>
      </w: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vertAlign w:val="superscript"/>
        </w:rPr>
        <w:t>1/4</w:t>
      </w:r>
      <w:r>
        <w:rPr>
          <w:rFonts w:hint="eastAsia" w:asciiTheme="minorEastAsia" w:hAnsiTheme="minorEastAsia" w:cstheme="minorEastAsia"/>
          <w:sz w:val="28"/>
          <w:szCs w:val="28"/>
        </w:rPr>
        <w:t>)</w:t>
      </w:r>
    </w:p>
    <w:p>
      <w:pPr>
        <w:adjustRightInd w:val="0"/>
        <w:snapToGrid w:val="0"/>
        <w:spacing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式中：Q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─地表洪峰流量(m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F─坝址以上流域面积(km</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/t─地面径流强度；</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τ─汇流时间(h)；</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L─流域干流长度(km)；</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J─干流平均坡降；</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m─因流域形状而变的系数。</w:t>
      </w:r>
    </w:p>
    <w:p>
      <w:pPr>
        <w:adjustRightInd w:val="0"/>
        <w:snapToGrid w:val="0"/>
        <w:spacing w:beforeLines="50" w:line="360" w:lineRule="auto"/>
        <w:rPr>
          <w:rFonts w:asciiTheme="minorEastAsia" w:hAnsiTheme="minorEastAsia" w:cstheme="minorEastAsia"/>
          <w:sz w:val="28"/>
          <w:szCs w:val="28"/>
        </w:rPr>
      </w:pPr>
      <w:r>
        <w:rPr>
          <w:rFonts w:hint="eastAsia" w:asciiTheme="minorEastAsia" w:hAnsiTheme="minorEastAsia" w:cstheme="minorEastAsia"/>
          <w:sz w:val="28"/>
          <w:szCs w:val="28"/>
        </w:rPr>
        <w:t xml:space="preserve">   1）汇流参数m值计算</w:t>
      </w:r>
    </w:p>
    <w:p>
      <w:pPr>
        <w:adjustRightInd w:val="0"/>
        <w:snapToGrid w:val="0"/>
        <w:spacing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根据《湖南省暴雨洪水查算手册》和工程所在位置位于丘陵区，以及流域地理参数θ取新综合线方程求得。</w:t>
      </w:r>
    </w:p>
    <w:p>
      <w:pPr>
        <w:adjustRightInd w:val="0"/>
        <w:snapToGrid w:val="0"/>
        <w:spacing w:beforeLines="50" w:line="360" w:lineRule="auto"/>
        <w:ind w:firstLine="480"/>
        <w:rPr>
          <w:rFonts w:asciiTheme="minorEastAsia" w:hAnsiTheme="minorEastAsia" w:cstheme="minorEastAsia"/>
          <w:sz w:val="28"/>
          <w:szCs w:val="28"/>
        </w:rPr>
      </w:pPr>
      <w:r>
        <w:rPr>
          <w:rFonts w:hint="eastAsia" w:asciiTheme="minorEastAsia" w:hAnsiTheme="minorEastAsia" w:cstheme="minorEastAsia"/>
          <w:sz w:val="28"/>
          <w:szCs w:val="28"/>
        </w:rPr>
        <w:t>2）R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/t值计算</w:t>
      </w:r>
    </w:p>
    <w:p>
      <w:pPr>
        <w:adjustRightInd w:val="0"/>
        <w:snapToGrid w:val="0"/>
        <w:spacing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根据最大24h概化雨型时程分配表中净雨过程，自最大时段净雨开始，向前后相邻时段连续累加，并除以相应的历时t，即可得R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/t值。</w:t>
      </w:r>
    </w:p>
    <w:p>
      <w:pPr>
        <w:adjustRightInd w:val="0"/>
        <w:snapToGrid w:val="0"/>
        <w:spacing w:beforeLines="50" w:line="360" w:lineRule="auto"/>
        <w:ind w:firstLine="480"/>
        <w:rPr>
          <w:rFonts w:asciiTheme="minorEastAsia" w:hAnsiTheme="minorEastAsia" w:cstheme="minorEastAsia"/>
          <w:sz w:val="28"/>
          <w:szCs w:val="28"/>
        </w:rPr>
      </w:pPr>
      <w:r>
        <w:rPr>
          <w:rFonts w:hint="eastAsia" w:asciiTheme="minorEastAsia" w:hAnsiTheme="minorEastAsia" w:cstheme="minorEastAsia"/>
          <w:sz w:val="28"/>
          <w:szCs w:val="28"/>
        </w:rPr>
        <w:t>3）地表径流洪峰流量Q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及汇流时间τ计算</w:t>
      </w:r>
    </w:p>
    <w:p>
      <w:pPr>
        <w:adjustRightInd w:val="0"/>
        <w:snapToGrid w:val="0"/>
        <w:spacing w:beforeLines="50" w:line="360" w:lineRule="auto"/>
        <w:ind w:firstLine="560" w:firstLineChars="200"/>
        <w:rPr>
          <w:rFonts w:eastAsia="宋体"/>
          <w:bCs/>
          <w:sz w:val="24"/>
        </w:rPr>
      </w:pPr>
      <w:r>
        <w:rPr>
          <w:rFonts w:hint="eastAsia" w:asciiTheme="minorEastAsia" w:hAnsiTheme="minorEastAsia" w:cstheme="minorEastAsia"/>
          <w:sz w:val="28"/>
          <w:szCs w:val="28"/>
        </w:rPr>
        <w:t>点绘R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/t~t关系曲线，根据R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/t~t关系曲线利用标准化计算程序采用试算法即可求出。</w:t>
      </w:r>
      <w:r>
        <w:rPr>
          <w:rFonts w:hint="eastAsia" w:asciiTheme="minorEastAsia" w:hAnsiTheme="minorEastAsia" w:cstheme="minorEastAsia"/>
          <w:bCs/>
          <w:sz w:val="28"/>
          <w:szCs w:val="28"/>
        </w:rPr>
        <w:t>白湖村河道县河段设计洪水计算参数及计算成果如表6。</w:t>
      </w:r>
    </w:p>
    <w:p>
      <w:pPr>
        <w:spacing w:beforeLines="50" w:line="360" w:lineRule="auto"/>
        <w:rPr>
          <w:rFonts w:ascii="宋体" w:hAnsi="宋体" w:eastAsia="宋体" w:cs="宋体"/>
          <w:b/>
          <w:bCs/>
          <w:sz w:val="24"/>
          <w:szCs w:val="24"/>
          <w:lang w:val="zh-CN"/>
        </w:rPr>
      </w:pPr>
      <w:r>
        <w:rPr>
          <w:rFonts w:ascii="Times New Roman" w:hAnsi="Times New Roman" w:eastAsia="宋体" w:cs="Times New Roman"/>
          <w:b/>
          <w:bCs/>
          <w:szCs w:val="21"/>
          <w:lang w:val="zh-CN"/>
        </w:rPr>
        <w:t>表</w:t>
      </w:r>
      <w:r>
        <w:rPr>
          <w:rFonts w:hint="eastAsia" w:ascii="Times New Roman" w:hAnsi="Times New Roman" w:eastAsia="宋体" w:cs="Times New Roman"/>
          <w:b/>
          <w:bCs/>
          <w:szCs w:val="21"/>
        </w:rPr>
        <w:t xml:space="preserve">6        </w:t>
      </w:r>
      <w:r>
        <w:rPr>
          <w:rFonts w:hint="eastAsia"/>
          <w:b/>
          <w:spacing w:val="-10"/>
          <w:sz w:val="24"/>
        </w:rPr>
        <w:t>白湖村河道县河段</w:t>
      </w:r>
      <w:r>
        <w:rPr>
          <w:rFonts w:eastAsia="宋体"/>
          <w:b/>
          <w:spacing w:val="-10"/>
          <w:sz w:val="24"/>
        </w:rPr>
        <w:t>设计洪水计算参数和计算成果表</w:t>
      </w:r>
      <w:r>
        <w:rPr>
          <w:rFonts w:hint="eastAsia"/>
          <w:b/>
          <w:spacing w:val="-10"/>
          <w:sz w:val="24"/>
        </w:rPr>
        <w:t>（推理公式法）</w:t>
      </w:r>
    </w:p>
    <w:tbl>
      <w:tblPr>
        <w:tblStyle w:val="22"/>
        <w:tblW w:w="87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51"/>
        <w:gridCol w:w="434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4351" w:type="dxa"/>
            <w:tcBorders>
              <w:tl2br w:val="nil"/>
              <w:tr2bl w:val="nil"/>
            </w:tcBorders>
            <w:noWrap/>
            <w:vAlign w:val="center"/>
          </w:tcPr>
          <w:p>
            <w:pPr>
              <w:adjustRightInd w:val="0"/>
              <w:snapToGrid w:val="0"/>
              <w:spacing w:before="50" w:line="360" w:lineRule="exact"/>
              <w:jc w:val="center"/>
              <w:rPr>
                <w:rFonts w:ascii="Times New Roman" w:hAnsi="Times New Roman" w:cs="Times New Roman"/>
                <w:lang w:val="zh-CN"/>
              </w:rPr>
            </w:pPr>
            <w:r>
              <w:rPr>
                <w:rFonts w:hint="eastAsia" w:cs="Times New Roman"/>
                <w:lang w:val="zh-CN"/>
              </w:rPr>
              <w:t>参数</w:t>
            </w:r>
          </w:p>
        </w:tc>
        <w:tc>
          <w:tcPr>
            <w:tcW w:w="4349" w:type="dxa"/>
            <w:tcBorders>
              <w:tl2br w:val="nil"/>
              <w:tr2bl w:val="nil"/>
            </w:tcBorders>
            <w:noWrap/>
            <w:vAlign w:val="center"/>
          </w:tcPr>
          <w:p>
            <w:pPr>
              <w:adjustRightInd w:val="0"/>
              <w:snapToGrid w:val="0"/>
              <w:spacing w:line="360" w:lineRule="exact"/>
              <w:jc w:val="center"/>
              <w:rPr>
                <w:rFonts w:ascii="Times New Roman" w:hAnsi="Times New Roman" w:cs="Times New Roman"/>
                <w:szCs w:val="21"/>
                <w:lang w:val="zh-CN"/>
              </w:rPr>
            </w:pPr>
            <w:r>
              <w:rPr>
                <w:rFonts w:hint="eastAsia"/>
                <w:szCs w:val="21"/>
              </w:rPr>
              <w:t>白湖村河道县段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351" w:type="dxa"/>
            <w:tcBorders>
              <w:tl2br w:val="nil"/>
              <w:tr2bl w:val="nil"/>
            </w:tcBorders>
            <w:noWrap/>
            <w:vAlign w:val="center"/>
          </w:tcPr>
          <w:p>
            <w:pPr>
              <w:adjustRightInd w:val="0"/>
              <w:snapToGrid w:val="0"/>
              <w:spacing w:before="50" w:line="360" w:lineRule="exact"/>
              <w:jc w:val="center"/>
              <w:rPr>
                <w:rFonts w:eastAsia="宋体"/>
                <w:spacing w:val="-10"/>
                <w:szCs w:val="21"/>
              </w:rPr>
            </w:pPr>
            <w:r>
              <w:rPr>
                <w:rFonts w:eastAsia="宋体"/>
                <w:spacing w:val="-10"/>
                <w:szCs w:val="21"/>
              </w:rPr>
              <w:t>集雨面积F(km</w:t>
            </w:r>
            <w:r>
              <w:rPr>
                <w:rFonts w:eastAsia="宋体"/>
                <w:spacing w:val="-10"/>
                <w:szCs w:val="21"/>
                <w:vertAlign w:val="superscript"/>
              </w:rPr>
              <w:t>2</w:t>
            </w:r>
            <w:r>
              <w:rPr>
                <w:rFonts w:eastAsia="宋体"/>
                <w:spacing w:val="-10"/>
                <w:szCs w:val="21"/>
              </w:rPr>
              <w:t>)</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53.8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351" w:type="dxa"/>
            <w:tcBorders>
              <w:tl2br w:val="nil"/>
              <w:tr2bl w:val="nil"/>
            </w:tcBorders>
            <w:noWrap/>
            <w:vAlign w:val="center"/>
          </w:tcPr>
          <w:p>
            <w:pPr>
              <w:adjustRightInd w:val="0"/>
              <w:snapToGrid w:val="0"/>
              <w:spacing w:before="50" w:line="360" w:lineRule="exact"/>
              <w:jc w:val="center"/>
              <w:rPr>
                <w:rFonts w:cs="Times New Roman"/>
                <w:lang w:val="zh-CN"/>
              </w:rPr>
            </w:pPr>
            <w:r>
              <w:rPr>
                <w:rFonts w:eastAsia="宋体"/>
                <w:spacing w:val="-10"/>
                <w:szCs w:val="21"/>
              </w:rPr>
              <w:t>干流长度L(km)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351" w:type="dxa"/>
            <w:tcBorders>
              <w:tl2br w:val="nil"/>
              <w:tr2bl w:val="nil"/>
            </w:tcBorders>
            <w:noWrap/>
            <w:vAlign w:val="center"/>
          </w:tcPr>
          <w:p>
            <w:pPr>
              <w:adjustRightInd w:val="0"/>
              <w:snapToGrid w:val="0"/>
              <w:spacing w:before="50" w:line="360" w:lineRule="exact"/>
              <w:jc w:val="center"/>
              <w:rPr>
                <w:rFonts w:cs="Times New Roman"/>
                <w:lang w:val="zh-CN"/>
              </w:rPr>
            </w:pPr>
            <w:r>
              <w:rPr>
                <w:rFonts w:eastAsia="宋体"/>
                <w:spacing w:val="-10"/>
                <w:szCs w:val="21"/>
              </w:rPr>
              <w:t>干流坡降J(‰)</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4.52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宋体" w:hAnsi="宋体"/>
                <w:lang w:val="zh-CN"/>
              </w:rPr>
            </w:pPr>
            <w:r>
              <w:rPr>
                <w:rFonts w:hint="eastAsia" w:ascii="宋体" w:hAnsi="宋体"/>
                <w:lang w:val="zh-CN"/>
              </w:rPr>
              <w:t>设计频率</w:t>
            </w:r>
            <w:r>
              <w:rPr>
                <w:rFonts w:ascii="Times New Roman" w:hAnsi="Times New Roman" w:cs="Times New Roman"/>
                <w:lang w:val="zh-CN"/>
              </w:rPr>
              <w:t>P(%)</w:t>
            </w:r>
          </w:p>
        </w:tc>
        <w:tc>
          <w:tcPr>
            <w:tcW w:w="4349"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KP</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1.47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H24点(mm)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161.7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H24面(mm)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n2</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0.646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n3</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0.768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H1(mm)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59.2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H3(mm)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87.4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H6(mm)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111.8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H12(mm)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131.2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RZ(mm)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122.0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ψ</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R上(mm)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85.4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Qmp（m3/s）</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148.6</w:t>
            </w:r>
          </w:p>
        </w:tc>
      </w:tr>
    </w:tbl>
    <w:p>
      <w:pPr>
        <w:adjustRightInd w:val="0"/>
        <w:snapToGrid w:val="0"/>
        <w:spacing w:beforeLines="50" w:line="360" w:lineRule="auto"/>
        <w:ind w:firstLine="480"/>
        <w:rPr>
          <w:rFonts w:asciiTheme="minorEastAsia" w:hAnsiTheme="minorEastAsia" w:cstheme="minorEastAsia"/>
          <w:bCs/>
          <w:sz w:val="28"/>
          <w:szCs w:val="28"/>
        </w:rPr>
      </w:pPr>
      <w:r>
        <w:rPr>
          <w:rFonts w:hint="eastAsia" w:asciiTheme="minorEastAsia" w:hAnsiTheme="minorEastAsia" w:cstheme="minorEastAsia"/>
          <w:sz w:val="28"/>
          <w:szCs w:val="28"/>
        </w:rPr>
        <w:t>（二）经验单位线法</w:t>
      </w:r>
    </w:p>
    <w:p>
      <w:pPr>
        <w:adjustRightInd w:val="0"/>
        <w:snapToGrid w:val="0"/>
        <w:spacing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根据本流域地理特征和选用原则，先选定无因次单位线，时段单位线纵高q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可由以下公式计算：</w:t>
      </w:r>
    </w:p>
    <w:p>
      <w:pPr>
        <w:autoSpaceDE w:val="0"/>
        <w:autoSpaceDN w:val="0"/>
        <w:adjustRightInd w:val="0"/>
        <w:spacing w:beforeLines="50" w:line="360" w:lineRule="auto"/>
        <w:ind w:left="2" w:firstLine="1200"/>
        <w:rPr>
          <w:rFonts w:asciiTheme="minorEastAsia" w:hAnsiTheme="minorEastAsia" w:cstheme="minorEastAsia"/>
          <w:sz w:val="28"/>
          <w:szCs w:val="28"/>
        </w:rPr>
      </w:pP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=2.778×F×ρ</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/t</w:t>
      </w:r>
    </w:p>
    <w:p>
      <w:pPr>
        <w:autoSpaceDE w:val="0"/>
        <w:autoSpaceDN w:val="0"/>
        <w:adjustRightInd w:val="0"/>
        <w:spacing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lang w:val="zh-CN"/>
        </w:rPr>
        <w:t>式中</w:t>
      </w: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w:t>
      </w:r>
      <w:r>
        <w:rPr>
          <w:rFonts w:hint="eastAsia" w:asciiTheme="minorEastAsia" w:hAnsiTheme="minorEastAsia" w:cstheme="minorEastAsia"/>
          <w:sz w:val="28"/>
          <w:szCs w:val="28"/>
          <w:lang w:val="zh-CN"/>
        </w:rPr>
        <w:t>时段单位线纵高</w:t>
      </w:r>
      <w:r>
        <w:rPr>
          <w:rFonts w:hint="eastAsia" w:asciiTheme="minorEastAsia" w:hAnsiTheme="minorEastAsia" w:cstheme="minorEastAsia"/>
          <w:sz w:val="28"/>
          <w:szCs w:val="28"/>
        </w:rPr>
        <w:t>(m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autoSpaceDE w:val="0"/>
        <w:autoSpaceDN w:val="0"/>
        <w:adjustRightInd w:val="0"/>
        <w:spacing w:beforeLines="50" w:line="360" w:lineRule="auto"/>
        <w:ind w:left="2" w:firstLine="1200"/>
        <w:rPr>
          <w:rFonts w:asciiTheme="minorEastAsia" w:hAnsiTheme="minorEastAsia" w:cstheme="minorEastAsia"/>
          <w:sz w:val="28"/>
          <w:szCs w:val="28"/>
        </w:rPr>
      </w:pPr>
      <w:r>
        <w:rPr>
          <w:rFonts w:hint="eastAsia" w:asciiTheme="minorEastAsia" w:hAnsiTheme="minorEastAsia" w:cstheme="minorEastAsia"/>
          <w:sz w:val="28"/>
          <w:szCs w:val="28"/>
        </w:rPr>
        <w:t>F─</w:t>
      </w:r>
      <w:r>
        <w:rPr>
          <w:rFonts w:hint="eastAsia" w:asciiTheme="minorEastAsia" w:hAnsiTheme="minorEastAsia" w:cstheme="minorEastAsia"/>
          <w:sz w:val="28"/>
          <w:szCs w:val="28"/>
          <w:lang w:val="zh-CN"/>
        </w:rPr>
        <w:t>控制流域面积</w:t>
      </w:r>
      <w:r>
        <w:rPr>
          <w:rFonts w:hint="eastAsia" w:asciiTheme="minorEastAsia" w:hAnsiTheme="minorEastAsia" w:cstheme="minorEastAsia"/>
          <w:sz w:val="28"/>
          <w:szCs w:val="28"/>
        </w:rPr>
        <w:t>(km</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autoSpaceDE w:val="0"/>
        <w:autoSpaceDN w:val="0"/>
        <w:adjustRightInd w:val="0"/>
        <w:spacing w:beforeLines="50" w:line="360" w:lineRule="auto"/>
        <w:ind w:left="2" w:firstLine="1200"/>
        <w:rPr>
          <w:rFonts w:asciiTheme="minorEastAsia" w:hAnsiTheme="minorEastAsia" w:cstheme="minorEastAsia"/>
          <w:sz w:val="28"/>
          <w:szCs w:val="28"/>
          <w:lang w:val="zh-CN"/>
        </w:rPr>
      </w:pPr>
      <w:r>
        <w:rPr>
          <w:rFonts w:hint="eastAsia" w:asciiTheme="minorEastAsia" w:hAnsiTheme="minorEastAsia" w:cstheme="minorEastAsia"/>
          <w:sz w:val="28"/>
          <w:szCs w:val="28"/>
        </w:rPr>
        <w:t>ρ</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lang w:val="zh-CN"/>
        </w:rPr>
        <w:t>─无因次单位线（10mm单位线）；</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t</w:t>
      </w:r>
      <w:r>
        <w:rPr>
          <w:rFonts w:hint="eastAsia" w:asciiTheme="minorEastAsia" w:hAnsiTheme="minorEastAsia" w:cstheme="minorEastAsia"/>
          <w:sz w:val="28"/>
          <w:szCs w:val="28"/>
          <w:lang w:val="zh-CN"/>
        </w:rPr>
        <w:t>─单位时段（1小时）；</w:t>
      </w:r>
    </w:p>
    <w:p>
      <w:pPr>
        <w:adjustRightInd w:val="0"/>
        <w:snapToGrid w:val="0"/>
        <w:spacing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以各时段净雨分别乘以时段为1小时的10mm单位线的时段单位线纵高q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，即得相应各时段净雨的径流过程。</w:t>
      </w:r>
    </w:p>
    <w:p>
      <w:pPr>
        <w:snapToGrid w:val="0"/>
        <w:spacing w:line="360" w:lineRule="auto"/>
        <w:ind w:right="13"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已知地下径流深R</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总</w:t>
      </w: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，由Q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～t过程线知地面径流过程底宽为T小时，以第T小时处为地下径流峰顶位置，按三角形关系求地下径流峰值Q</w:t>
      </w:r>
      <w:r>
        <w:rPr>
          <w:rFonts w:hint="eastAsia" w:asciiTheme="minorEastAsia" w:hAnsiTheme="minorEastAsia" w:cstheme="minorEastAsia"/>
          <w:sz w:val="28"/>
          <w:szCs w:val="28"/>
          <w:vertAlign w:val="subscript"/>
        </w:rPr>
        <w:t>m地</w:t>
      </w:r>
      <w:r>
        <w:rPr>
          <w:rFonts w:hint="eastAsia" w:asciiTheme="minorEastAsia" w:hAnsiTheme="minorEastAsia" w:cstheme="minorEastAsia"/>
          <w:sz w:val="28"/>
          <w:szCs w:val="28"/>
        </w:rPr>
        <w:t>=F×R</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/（3.6×△t）/T。</w:t>
      </w:r>
      <w:r>
        <w:rPr>
          <w:rFonts w:hint="eastAsia" w:asciiTheme="minorEastAsia" w:hAnsiTheme="minorEastAsia" w:cstheme="minorEastAsia"/>
          <w:spacing w:val="4"/>
          <w:sz w:val="28"/>
          <w:szCs w:val="28"/>
        </w:rPr>
        <w:t>自Q</w:t>
      </w:r>
      <w:r>
        <w:rPr>
          <w:rFonts w:hint="eastAsia" w:asciiTheme="minorEastAsia" w:hAnsiTheme="minorEastAsia" w:cstheme="minorEastAsia"/>
          <w:spacing w:val="4"/>
          <w:sz w:val="28"/>
          <w:szCs w:val="28"/>
          <w:vertAlign w:val="subscript"/>
        </w:rPr>
        <w:t>m地</w:t>
      </w:r>
      <w:r>
        <w:rPr>
          <w:rFonts w:hint="eastAsia" w:asciiTheme="minorEastAsia" w:hAnsiTheme="minorEastAsia" w:cstheme="minorEastAsia"/>
          <w:spacing w:val="4"/>
          <w:sz w:val="28"/>
          <w:szCs w:val="28"/>
        </w:rPr>
        <w:t>开始每增减一个时段，其流量即减少一个△Q</w:t>
      </w:r>
      <w:r>
        <w:rPr>
          <w:rFonts w:hint="eastAsia" w:asciiTheme="minorEastAsia" w:hAnsiTheme="minorEastAsia" w:cstheme="minorEastAsia"/>
          <w:spacing w:val="4"/>
          <w:sz w:val="28"/>
          <w:szCs w:val="28"/>
          <w:vertAlign w:val="subscript"/>
        </w:rPr>
        <w:t>地</w:t>
      </w:r>
      <w:r>
        <w:rPr>
          <w:rFonts w:hint="eastAsia" w:asciiTheme="minorEastAsia" w:hAnsiTheme="minorEastAsia" w:cstheme="minorEastAsia"/>
          <w:spacing w:val="10"/>
          <w:sz w:val="28"/>
          <w:szCs w:val="28"/>
        </w:rPr>
        <w:t>=Q</w:t>
      </w:r>
      <w:r>
        <w:rPr>
          <w:rFonts w:hint="eastAsia" w:asciiTheme="minorEastAsia" w:hAnsiTheme="minorEastAsia" w:cstheme="minorEastAsia"/>
          <w:spacing w:val="10"/>
          <w:sz w:val="28"/>
          <w:szCs w:val="28"/>
          <w:vertAlign w:val="subscript"/>
        </w:rPr>
        <w:t>m地</w:t>
      </w:r>
      <w:r>
        <w:rPr>
          <w:rFonts w:hint="eastAsia" w:asciiTheme="minorEastAsia" w:hAnsiTheme="minorEastAsia" w:cstheme="minorEastAsia"/>
          <w:spacing w:val="10"/>
          <w:sz w:val="28"/>
          <w:szCs w:val="28"/>
        </w:rPr>
        <w:t>/T,</w:t>
      </w:r>
      <w:r>
        <w:rPr>
          <w:rFonts w:hint="eastAsia" w:asciiTheme="minorEastAsia" w:hAnsiTheme="minorEastAsia" w:cstheme="minorEastAsia"/>
          <w:sz w:val="28"/>
          <w:szCs w:val="28"/>
        </w:rPr>
        <w:t>由此可得地下径流过程Q</w:t>
      </w:r>
      <w:r>
        <w:rPr>
          <w:rFonts w:hint="eastAsia" w:asciiTheme="minorEastAsia" w:hAnsiTheme="minorEastAsia" w:cstheme="minorEastAsia"/>
          <w:sz w:val="28"/>
          <w:szCs w:val="28"/>
          <w:vertAlign w:val="subscript"/>
        </w:rPr>
        <w:t>o</w:t>
      </w:r>
      <w:r>
        <w:rPr>
          <w:rFonts w:hint="eastAsia" w:asciiTheme="minorEastAsia" w:hAnsiTheme="minorEastAsia" w:cstheme="minorEastAsia"/>
          <w:sz w:val="28"/>
          <w:szCs w:val="28"/>
        </w:rPr>
        <w:t>～t线。</w:t>
      </w:r>
    </w:p>
    <w:p>
      <w:pPr>
        <w:pStyle w:val="2"/>
        <w:spacing w:line="480" w:lineRule="auto"/>
        <w:ind w:firstLine="565" w:firstLineChars="202"/>
        <w:rPr>
          <w:rFonts w:asciiTheme="minorEastAsia" w:hAnsiTheme="minorEastAsia" w:cstheme="minorEastAsia"/>
          <w:sz w:val="28"/>
          <w:szCs w:val="28"/>
          <w:lang w:val="zh-CN"/>
        </w:rPr>
      </w:pPr>
      <w:r>
        <w:rPr>
          <w:rFonts w:hint="eastAsia" w:asciiTheme="minorEastAsia" w:hAnsiTheme="minorEastAsia" w:cstheme="minorEastAsia"/>
          <w:sz w:val="28"/>
          <w:szCs w:val="28"/>
          <w:lang w:val="zh-CN"/>
        </w:rPr>
        <w:t>根据以上计算公式，利用标准化计算程序计算项目区各区段设计洪水计算参数及计算成果如表</w:t>
      </w:r>
      <w:r>
        <w:rPr>
          <w:rFonts w:hint="eastAsia" w:asciiTheme="minorEastAsia" w:hAnsiTheme="minorEastAsia" w:cstheme="minorEastAsia"/>
          <w:sz w:val="28"/>
          <w:szCs w:val="28"/>
        </w:rPr>
        <w:t>7</w:t>
      </w:r>
      <w:r>
        <w:rPr>
          <w:rFonts w:hint="eastAsia" w:asciiTheme="minorEastAsia" w:hAnsiTheme="minorEastAsia" w:cstheme="minorEastAsia"/>
          <w:sz w:val="28"/>
          <w:szCs w:val="28"/>
          <w:lang w:val="zh-CN"/>
        </w:rPr>
        <w:t>。</w:t>
      </w:r>
    </w:p>
    <w:p>
      <w:pPr>
        <w:pStyle w:val="2"/>
        <w:spacing w:line="480" w:lineRule="auto"/>
        <w:ind w:firstLine="565" w:firstLineChars="202"/>
        <w:rPr>
          <w:rFonts w:asciiTheme="minorEastAsia" w:hAnsiTheme="minorEastAsia" w:cstheme="minorEastAsia"/>
          <w:sz w:val="28"/>
          <w:szCs w:val="28"/>
          <w:lang w:val="zh-CN"/>
        </w:rPr>
      </w:pPr>
    </w:p>
    <w:p>
      <w:pPr>
        <w:pStyle w:val="2"/>
        <w:spacing w:line="480" w:lineRule="auto"/>
        <w:ind w:firstLine="565" w:firstLineChars="202"/>
        <w:rPr>
          <w:rFonts w:asciiTheme="minorEastAsia" w:hAnsiTheme="minorEastAsia" w:cstheme="minorEastAsia"/>
          <w:sz w:val="28"/>
          <w:szCs w:val="28"/>
          <w:lang w:val="zh-CN"/>
        </w:rPr>
      </w:pPr>
    </w:p>
    <w:p>
      <w:pPr>
        <w:pStyle w:val="2"/>
        <w:spacing w:line="480" w:lineRule="auto"/>
        <w:ind w:firstLine="565" w:firstLineChars="202"/>
        <w:rPr>
          <w:rFonts w:asciiTheme="minorEastAsia" w:hAnsiTheme="minorEastAsia" w:cstheme="minorEastAsia"/>
          <w:sz w:val="28"/>
          <w:szCs w:val="28"/>
          <w:lang w:val="zh-CN"/>
        </w:rPr>
      </w:pPr>
    </w:p>
    <w:p>
      <w:pPr>
        <w:pStyle w:val="2"/>
        <w:spacing w:line="480" w:lineRule="auto"/>
        <w:ind w:firstLine="565" w:firstLineChars="202"/>
        <w:rPr>
          <w:rFonts w:asciiTheme="minorEastAsia" w:hAnsiTheme="minorEastAsia" w:cstheme="minorEastAsia"/>
          <w:sz w:val="28"/>
          <w:szCs w:val="28"/>
          <w:lang w:val="zh-CN"/>
        </w:rPr>
      </w:pPr>
    </w:p>
    <w:p>
      <w:pPr>
        <w:pStyle w:val="2"/>
        <w:spacing w:line="480" w:lineRule="auto"/>
        <w:ind w:firstLine="565" w:firstLineChars="202"/>
        <w:rPr>
          <w:rFonts w:asciiTheme="minorEastAsia" w:hAnsiTheme="minorEastAsia" w:cstheme="minorEastAsia"/>
          <w:sz w:val="28"/>
          <w:szCs w:val="28"/>
          <w:lang w:val="zh-CN"/>
        </w:rPr>
      </w:pPr>
    </w:p>
    <w:p>
      <w:pPr>
        <w:pStyle w:val="2"/>
        <w:spacing w:line="480" w:lineRule="auto"/>
        <w:ind w:firstLine="565" w:firstLineChars="202"/>
        <w:rPr>
          <w:rFonts w:asciiTheme="minorEastAsia" w:hAnsiTheme="minorEastAsia" w:cstheme="minorEastAsia"/>
          <w:sz w:val="28"/>
          <w:szCs w:val="28"/>
        </w:rPr>
      </w:pPr>
    </w:p>
    <w:p>
      <w:pPr>
        <w:adjustRightInd w:val="0"/>
        <w:snapToGrid w:val="0"/>
        <w:spacing w:line="360" w:lineRule="auto"/>
        <w:rPr>
          <w:rFonts w:hAnsi="宋体" w:eastAsia="宋体"/>
          <w:b/>
          <w:spacing w:val="-10"/>
          <w:sz w:val="24"/>
        </w:rPr>
      </w:pPr>
      <w:r>
        <w:rPr>
          <w:rFonts w:hAnsi="宋体" w:eastAsia="宋体"/>
          <w:b/>
          <w:spacing w:val="-10"/>
          <w:szCs w:val="21"/>
        </w:rPr>
        <w:t>表</w:t>
      </w:r>
      <w:r>
        <w:rPr>
          <w:rFonts w:hint="eastAsia"/>
          <w:b/>
          <w:spacing w:val="-10"/>
          <w:szCs w:val="21"/>
        </w:rPr>
        <w:t xml:space="preserve">7         </w:t>
      </w:r>
      <w:r>
        <w:rPr>
          <w:rFonts w:hint="eastAsia"/>
          <w:b/>
          <w:spacing w:val="-10"/>
          <w:sz w:val="24"/>
        </w:rPr>
        <w:t>白湖村河道县河段</w:t>
      </w:r>
      <w:r>
        <w:rPr>
          <w:rFonts w:eastAsia="宋体"/>
          <w:b/>
          <w:spacing w:val="-10"/>
          <w:sz w:val="24"/>
        </w:rPr>
        <w:t>设计洪水计算参数和计算成果表</w:t>
      </w:r>
      <w:r>
        <w:rPr>
          <w:rFonts w:hint="eastAsia"/>
          <w:b/>
          <w:spacing w:val="-10"/>
          <w:sz w:val="24"/>
        </w:rPr>
        <w:t>（经验单位线法）</w:t>
      </w:r>
    </w:p>
    <w:tbl>
      <w:tblPr>
        <w:tblStyle w:val="23"/>
        <w:tblW w:w="84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972"/>
        <w:gridCol w:w="45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参数</w:t>
            </w:r>
          </w:p>
        </w:tc>
        <w:tc>
          <w:tcPr>
            <w:tcW w:w="4508" w:type="dxa"/>
            <w:noWrap/>
            <w:vAlign w:val="center"/>
          </w:tcPr>
          <w:p>
            <w:pPr>
              <w:adjustRightInd w:val="0"/>
              <w:snapToGrid w:val="0"/>
              <w:jc w:val="center"/>
              <w:rPr>
                <w:rFonts w:eastAsia="宋体"/>
                <w:szCs w:val="21"/>
              </w:rPr>
            </w:pPr>
            <w:r>
              <w:rPr>
                <w:rFonts w:hint="eastAsia"/>
                <w:szCs w:val="21"/>
              </w:rPr>
              <w:t>白湖村河道县段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集雨面积</w:t>
            </w:r>
            <w:r>
              <w:rPr>
                <w:rFonts w:eastAsia="宋体"/>
                <w:szCs w:val="21"/>
              </w:rPr>
              <w:t>F(km</w:t>
            </w:r>
            <w:r>
              <w:rPr>
                <w:rFonts w:eastAsia="宋体"/>
                <w:szCs w:val="21"/>
                <w:vertAlign w:val="superscript"/>
              </w:rPr>
              <w:t>2</w:t>
            </w:r>
            <w:r>
              <w:rPr>
                <w:rFonts w:eastAsia="宋体"/>
                <w:szCs w:val="21"/>
              </w:rPr>
              <w:t>)</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53.8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设计频率（</w:t>
            </w:r>
            <w:r>
              <w:rPr>
                <w:rFonts w:eastAsia="宋体"/>
                <w:szCs w:val="21"/>
              </w:rPr>
              <w:t>%</w:t>
            </w:r>
            <w:r>
              <w:rPr>
                <w:rFonts w:hAnsi="宋体" w:eastAsia="宋体"/>
                <w:szCs w:val="21"/>
              </w:rPr>
              <w:t>）</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exact"/>
        </w:trPr>
        <w:tc>
          <w:tcPr>
            <w:tcW w:w="3972" w:type="dxa"/>
            <w:noWrap/>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小时点暴雨</w:t>
            </w:r>
            <w:r>
              <w:rPr>
                <w:rFonts w:eastAsia="宋体"/>
                <w:szCs w:val="21"/>
              </w:rPr>
              <w:t>H</w:t>
            </w:r>
            <w:r>
              <w:rPr>
                <w:rFonts w:eastAsia="宋体"/>
                <w:szCs w:val="21"/>
                <w:vertAlign w:val="subscript"/>
              </w:rPr>
              <w:t>O</w:t>
            </w:r>
            <w:r>
              <w:rPr>
                <w:rFonts w:eastAsia="宋体"/>
                <w:szCs w:val="21"/>
              </w:rPr>
              <w:t>(mm)</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161.7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小时面暴雨</w:t>
            </w:r>
            <w:r>
              <w:rPr>
                <w:rFonts w:eastAsia="宋体"/>
                <w:szCs w:val="21"/>
              </w:rPr>
              <w:t>H</w:t>
            </w:r>
            <w:r>
              <w:rPr>
                <w:rFonts w:hAnsi="宋体" w:eastAsia="宋体"/>
                <w:szCs w:val="21"/>
                <w:vertAlign w:val="subscript"/>
              </w:rPr>
              <w:t>面</w:t>
            </w:r>
            <w:r>
              <w:rPr>
                <w:rFonts w:eastAsia="宋体"/>
                <w:szCs w:val="21"/>
              </w:rPr>
              <w:t>(mm)</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154.0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初损雨量</w:t>
            </w:r>
            <w:r>
              <w:rPr>
                <w:rFonts w:eastAsia="宋体"/>
                <w:szCs w:val="21"/>
              </w:rPr>
              <w:t>I</w:t>
            </w:r>
            <w:r>
              <w:rPr>
                <w:rFonts w:eastAsia="宋体"/>
                <w:szCs w:val="21"/>
                <w:vertAlign w:val="subscript"/>
              </w:rPr>
              <w:t>O</w:t>
            </w:r>
            <w:r>
              <w:rPr>
                <w:rFonts w:eastAsia="宋体"/>
                <w:szCs w:val="21"/>
              </w:rPr>
              <w:t>(mm)</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单位线区域</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流域分区</w:t>
            </w:r>
            <w:r>
              <w:rPr>
                <w:rFonts w:eastAsia="宋体"/>
                <w:szCs w:val="21"/>
              </w:rPr>
              <w:t>F</w:t>
            </w:r>
            <w:r>
              <w:rPr>
                <w:rFonts w:eastAsia="宋体"/>
                <w:szCs w:val="21"/>
                <w:vertAlign w:val="subscript"/>
              </w:rPr>
              <w:t>Q</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植被地貌</w:t>
            </w:r>
            <w:r>
              <w:rPr>
                <w:rFonts w:eastAsia="宋体"/>
                <w:szCs w:val="21"/>
              </w:rPr>
              <w:t>A</w:t>
            </w:r>
            <w:r>
              <w:rPr>
                <w:rFonts w:eastAsia="宋体"/>
                <w:szCs w:val="21"/>
                <w:vertAlign w:val="subscript"/>
              </w:rPr>
              <w:t>O</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eastAsia="宋体"/>
                <w:szCs w:val="21"/>
              </w:rPr>
              <w:t>C</w:t>
            </w:r>
            <w:r>
              <w:rPr>
                <w:rFonts w:eastAsia="宋体"/>
                <w:szCs w:val="21"/>
                <w:vertAlign w:val="subscript"/>
              </w:rPr>
              <w:t>v</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0.35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Cs/Cv</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n2</w:t>
            </w:r>
          </w:p>
        </w:tc>
        <w:tc>
          <w:tcPr>
            <w:tcW w:w="4508" w:type="dxa"/>
            <w:noWrap/>
            <w:vAlign w:val="center"/>
          </w:tcPr>
          <w:p>
            <w:pPr>
              <w:spacing w:line="360" w:lineRule="exact"/>
              <w:jc w:val="center"/>
              <w:rPr>
                <w:rFonts w:hAnsi="宋体" w:eastAsia="宋体"/>
                <w:szCs w:val="21"/>
              </w:rPr>
            </w:pPr>
            <w:r>
              <w:rPr>
                <w:rFonts w:hint="eastAsia" w:cs="Times New Roman"/>
              </w:rPr>
              <w:t>0.646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n3</w:t>
            </w:r>
          </w:p>
        </w:tc>
        <w:tc>
          <w:tcPr>
            <w:tcW w:w="4508" w:type="dxa"/>
            <w:noWrap/>
            <w:vAlign w:val="center"/>
          </w:tcPr>
          <w:p>
            <w:pPr>
              <w:spacing w:line="360" w:lineRule="exact"/>
              <w:jc w:val="center"/>
              <w:rPr>
                <w:rFonts w:hAnsi="宋体" w:eastAsia="宋体"/>
                <w:szCs w:val="21"/>
              </w:rPr>
            </w:pPr>
            <w:r>
              <w:rPr>
                <w:rFonts w:hint="eastAsia" w:cs="Times New Roman"/>
              </w:rPr>
              <w:t>0.768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w:t>
            </w:r>
          </w:p>
        </w:tc>
        <w:tc>
          <w:tcPr>
            <w:tcW w:w="4508" w:type="dxa"/>
            <w:noWrap/>
            <w:vAlign w:val="center"/>
          </w:tcPr>
          <w:p>
            <w:pPr>
              <w:spacing w:line="360" w:lineRule="exact"/>
              <w:jc w:val="center"/>
              <w:rPr>
                <w:rFonts w:hAnsi="宋体" w:eastAsia="宋体"/>
                <w:szCs w:val="21"/>
              </w:rPr>
            </w:pPr>
            <w:r>
              <w:rPr>
                <w:rFonts w:hint="eastAsia" w:cs="Times New Roman"/>
              </w:rPr>
              <w:t>59.2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4"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3</w:t>
            </w:r>
          </w:p>
        </w:tc>
        <w:tc>
          <w:tcPr>
            <w:tcW w:w="4508" w:type="dxa"/>
            <w:noWrap/>
            <w:vAlign w:val="center"/>
          </w:tcPr>
          <w:p>
            <w:pPr>
              <w:spacing w:line="360" w:lineRule="exact"/>
              <w:jc w:val="center"/>
              <w:rPr>
                <w:rFonts w:hAnsi="宋体" w:eastAsia="宋体"/>
                <w:szCs w:val="21"/>
              </w:rPr>
            </w:pPr>
            <w:r>
              <w:rPr>
                <w:rFonts w:hint="eastAsia" w:cs="Times New Roman"/>
              </w:rPr>
              <w:t>87.4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6</w:t>
            </w:r>
          </w:p>
        </w:tc>
        <w:tc>
          <w:tcPr>
            <w:tcW w:w="4508" w:type="dxa"/>
            <w:noWrap/>
            <w:vAlign w:val="center"/>
          </w:tcPr>
          <w:p>
            <w:pPr>
              <w:spacing w:line="360" w:lineRule="exact"/>
              <w:jc w:val="center"/>
              <w:rPr>
                <w:rFonts w:hAnsi="宋体" w:eastAsia="宋体"/>
                <w:szCs w:val="21"/>
              </w:rPr>
            </w:pPr>
            <w:r>
              <w:rPr>
                <w:rFonts w:hint="eastAsia" w:cs="Times New Roman"/>
              </w:rPr>
              <w:t>111.8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12</w:t>
            </w:r>
          </w:p>
        </w:tc>
        <w:tc>
          <w:tcPr>
            <w:tcW w:w="4508" w:type="dxa"/>
            <w:noWrap/>
            <w:vAlign w:val="center"/>
          </w:tcPr>
          <w:p>
            <w:pPr>
              <w:spacing w:line="360" w:lineRule="exact"/>
              <w:jc w:val="center"/>
              <w:rPr>
                <w:rFonts w:hAnsi="宋体" w:eastAsia="宋体"/>
                <w:szCs w:val="21"/>
              </w:rPr>
            </w:pPr>
            <w:r>
              <w:rPr>
                <w:rFonts w:hint="eastAsia" w:cs="Times New Roman"/>
              </w:rPr>
              <w:t>131.2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洪峰流量(m</w:t>
            </w:r>
            <w:r>
              <w:rPr>
                <w:rFonts w:hAnsi="宋体" w:eastAsia="宋体"/>
                <w:szCs w:val="21"/>
                <w:vertAlign w:val="superscript"/>
              </w:rPr>
              <w:t>3</w:t>
            </w:r>
            <w:r>
              <w:rPr>
                <w:rFonts w:hAnsi="宋体" w:eastAsia="宋体"/>
                <w:szCs w:val="21"/>
              </w:rPr>
              <w:t>/s)</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156.3</w:t>
            </w:r>
          </w:p>
        </w:tc>
      </w:tr>
    </w:tbl>
    <w:p>
      <w:pPr>
        <w:pStyle w:val="2"/>
        <w:spacing w:line="480" w:lineRule="auto"/>
        <w:ind w:firstLine="565" w:firstLineChars="202"/>
        <w:rPr>
          <w:sz w:val="28"/>
        </w:rPr>
      </w:pPr>
      <w:r>
        <w:rPr>
          <w:rFonts w:hint="eastAsia"/>
          <w:sz w:val="28"/>
        </w:rPr>
        <w:t>根据以上计算成果分析，两种计算方法的成果相差不大，综合分析从工程安全角度和计算方法的适用性考虑，本次设计采用推理公式法的计算成果。即白湖村河道县河段10年一遇设计洪峰流量为156.3m</w:t>
      </w:r>
      <w:r>
        <w:rPr>
          <w:rFonts w:hint="eastAsia"/>
          <w:sz w:val="28"/>
          <w:vertAlign w:val="superscript"/>
        </w:rPr>
        <w:t>3</w:t>
      </w:r>
      <w:r>
        <w:rPr>
          <w:rFonts w:hint="eastAsia"/>
          <w:sz w:val="28"/>
        </w:rPr>
        <w:t>/s。</w:t>
      </w:r>
    </w:p>
    <w:p>
      <w:pPr>
        <w:pStyle w:val="4"/>
        <w:keepNext w:val="0"/>
        <w:keepLines w:val="0"/>
        <w:numPr>
          <w:ilvl w:val="1"/>
          <w:numId w:val="0"/>
        </w:numPr>
        <w:spacing w:beforeLines="50" w:line="360" w:lineRule="auto"/>
        <w:rPr>
          <w:rFonts w:ascii="Times New Roman" w:hAnsi="Times New Roman" w:cs="Times New Roman"/>
          <w:sz w:val="28"/>
          <w:szCs w:val="28"/>
        </w:rPr>
      </w:pPr>
      <w:bookmarkStart w:id="64" w:name="_Toc27952"/>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.4.5</w:t>
      </w:r>
      <w:r>
        <w:rPr>
          <w:rFonts w:hint="eastAsia" w:ascii="Times New Roman" w:hAnsi="Times New Roman" w:cs="Times New Roman"/>
          <w:b w:val="0"/>
          <w:bCs w:val="0"/>
          <w:sz w:val="28"/>
          <w:szCs w:val="28"/>
        </w:rPr>
        <w:t>设计洪水计算成果合理性分析</w:t>
      </w:r>
      <w:bookmarkEnd w:id="64"/>
    </w:p>
    <w:p>
      <w:pPr>
        <w:spacing w:before="156" w:line="360" w:lineRule="auto"/>
        <w:ind w:firstLine="480"/>
        <w:rPr>
          <w:sz w:val="28"/>
        </w:rPr>
      </w:pPr>
      <w:r>
        <w:rPr>
          <w:rFonts w:hint="eastAsia"/>
          <w:sz w:val="28"/>
        </w:rPr>
        <w:t>邻近流域祥林铺河</w:t>
      </w:r>
      <w:r>
        <w:rPr>
          <w:sz w:val="28"/>
        </w:rPr>
        <w:t>控制面积</w:t>
      </w:r>
      <w:r>
        <w:rPr>
          <w:rFonts w:hint="eastAsia"/>
          <w:sz w:val="28"/>
        </w:rPr>
        <w:t>63.9</w:t>
      </w:r>
      <w:r>
        <w:rPr>
          <w:sz w:val="28"/>
        </w:rPr>
        <w:t>m</w:t>
      </w:r>
      <w:r>
        <w:rPr>
          <w:sz w:val="28"/>
          <w:vertAlign w:val="superscript"/>
        </w:rPr>
        <w:t>2</w:t>
      </w:r>
      <w:r>
        <w:rPr>
          <w:rFonts w:hint="eastAsia"/>
          <w:sz w:val="28"/>
        </w:rPr>
        <w:t>，将两条河计算结果与其进行分析比较如下表。</w:t>
      </w:r>
    </w:p>
    <w:p>
      <w:pPr>
        <w:spacing w:before="156" w:line="360" w:lineRule="auto"/>
        <w:rPr>
          <w:sz w:val="28"/>
        </w:rPr>
      </w:pPr>
    </w:p>
    <w:p>
      <w:pPr>
        <w:spacing w:before="156" w:line="360" w:lineRule="auto"/>
        <w:ind w:firstLine="105" w:firstLineChars="50"/>
        <w:jc w:val="left"/>
        <w:rPr>
          <w:rFonts w:eastAsia="宋体"/>
          <w:b/>
          <w:bCs/>
          <w:snapToGrid w:val="0"/>
          <w:sz w:val="24"/>
          <w:szCs w:val="24"/>
        </w:rPr>
      </w:pPr>
      <w:r>
        <w:rPr>
          <w:rFonts w:hint="eastAsia" w:hAnsi="宋体"/>
          <w:b/>
          <w:bCs/>
          <w:snapToGrid w:val="0"/>
          <w:szCs w:val="21"/>
        </w:rPr>
        <w:t xml:space="preserve">表8               </w:t>
      </w:r>
      <w:r>
        <w:rPr>
          <w:rFonts w:hint="eastAsia" w:hAnsi="宋体"/>
          <w:b/>
          <w:bCs/>
          <w:snapToGrid w:val="0"/>
          <w:sz w:val="24"/>
          <w:szCs w:val="24"/>
        </w:rPr>
        <w:t>白湖村河与祥林铺河</w:t>
      </w:r>
      <w:r>
        <w:rPr>
          <w:rFonts w:hAnsi="宋体"/>
          <w:b/>
          <w:bCs/>
          <w:snapToGrid w:val="0"/>
          <w:sz w:val="24"/>
          <w:szCs w:val="24"/>
        </w:rPr>
        <w:t>设计洪水比较</w:t>
      </w:r>
      <w:r>
        <w:rPr>
          <w:rFonts w:hint="eastAsia" w:hAnsi="宋体"/>
          <w:b/>
          <w:bCs/>
          <w:snapToGrid w:val="0"/>
          <w:sz w:val="24"/>
          <w:szCs w:val="24"/>
        </w:rPr>
        <w:t>（P=10%）</w:t>
      </w:r>
    </w:p>
    <w:tbl>
      <w:tblPr>
        <w:tblStyle w:val="22"/>
        <w:tblW w:w="83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14"/>
        <w:gridCol w:w="2055"/>
        <w:gridCol w:w="1890"/>
        <w:gridCol w:w="25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站名</w:t>
            </w:r>
          </w:p>
        </w:tc>
        <w:tc>
          <w:tcPr>
            <w:tcW w:w="2055" w:type="dxa"/>
            <w:noWrap/>
            <w:vAlign w:val="center"/>
          </w:tcPr>
          <w:p>
            <w:pPr>
              <w:jc w:val="center"/>
              <w:rPr>
                <w:rFonts w:eastAsia="宋体"/>
                <w:snapToGrid w:val="0"/>
                <w:szCs w:val="21"/>
              </w:rPr>
            </w:pPr>
            <w:r>
              <w:rPr>
                <w:rFonts w:hint="eastAsia"/>
                <w:snapToGrid w:val="0"/>
                <w:szCs w:val="21"/>
              </w:rPr>
              <w:t>流域面积（</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rFonts w:hint="eastAsia"/>
                <w:snapToGrid w:val="0"/>
                <w:szCs w:val="21"/>
              </w:rPr>
              <w:t>）</w:t>
            </w:r>
          </w:p>
        </w:tc>
        <w:tc>
          <w:tcPr>
            <w:tcW w:w="1890" w:type="dxa"/>
            <w:noWrap/>
            <w:vAlign w:val="center"/>
          </w:tcPr>
          <w:p>
            <w:pPr>
              <w:jc w:val="center"/>
              <w:rPr>
                <w:rFonts w:eastAsia="宋体"/>
                <w:snapToGrid w:val="0"/>
                <w:szCs w:val="21"/>
              </w:rPr>
            </w:pPr>
            <w:r>
              <w:rPr>
                <w:rFonts w:hint="eastAsia"/>
                <w:snapToGrid w:val="0"/>
                <w:szCs w:val="21"/>
              </w:rPr>
              <w:t>洪峰流量</w:t>
            </w:r>
            <w:r>
              <w:rPr>
                <w:kern w:val="0"/>
                <w:szCs w:val="21"/>
              </w:rPr>
              <w:t>(m</w:t>
            </w:r>
            <w:r>
              <w:rPr>
                <w:kern w:val="0"/>
                <w:szCs w:val="21"/>
                <w:vertAlign w:val="superscript"/>
              </w:rPr>
              <w:t>3</w:t>
            </w:r>
            <w:r>
              <w:rPr>
                <w:kern w:val="0"/>
                <w:szCs w:val="21"/>
              </w:rPr>
              <w:t>/s)</w:t>
            </w:r>
          </w:p>
        </w:tc>
        <w:tc>
          <w:tcPr>
            <w:tcW w:w="2501" w:type="dxa"/>
            <w:noWrap/>
            <w:vAlign w:val="center"/>
          </w:tcPr>
          <w:p>
            <w:pPr>
              <w:jc w:val="center"/>
              <w:rPr>
                <w:rFonts w:eastAsia="宋体"/>
                <w:snapToGrid w:val="0"/>
                <w:szCs w:val="21"/>
              </w:rPr>
            </w:pPr>
            <w:r>
              <w:rPr>
                <w:rFonts w:hint="eastAsia"/>
                <w:snapToGrid w:val="0"/>
                <w:szCs w:val="21"/>
              </w:rPr>
              <w:t>洪峰模数</w:t>
            </w:r>
            <w:r>
              <w:rPr>
                <w:kern w:val="0"/>
                <w:szCs w:val="21"/>
              </w:rPr>
              <w:t>(m</w:t>
            </w:r>
            <w:r>
              <w:rPr>
                <w:kern w:val="0"/>
                <w:szCs w:val="21"/>
                <w:vertAlign w:val="superscript"/>
              </w:rPr>
              <w:t>3</w:t>
            </w:r>
            <w:r>
              <w:rPr>
                <w:kern w:val="0"/>
                <w:szCs w:val="21"/>
              </w:rPr>
              <w:t>/s</w:t>
            </w:r>
            <w:r>
              <w:rPr>
                <w:rFonts w:hint="eastAsia"/>
                <w:kern w:val="0"/>
                <w:szCs w:val="21"/>
              </w:rPr>
              <w:t>/</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kern w:val="0"/>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祥林铺河</w:t>
            </w:r>
          </w:p>
        </w:tc>
        <w:tc>
          <w:tcPr>
            <w:tcW w:w="2055" w:type="dxa"/>
            <w:noWrap/>
            <w:vAlign w:val="center"/>
          </w:tcPr>
          <w:p>
            <w:pPr>
              <w:jc w:val="center"/>
              <w:rPr>
                <w:snapToGrid w:val="0"/>
                <w:szCs w:val="21"/>
              </w:rPr>
            </w:pPr>
            <w:r>
              <w:rPr>
                <w:rFonts w:hint="eastAsia"/>
                <w:snapToGrid w:val="0"/>
                <w:szCs w:val="21"/>
              </w:rPr>
              <w:t>63.9</w:t>
            </w:r>
          </w:p>
        </w:tc>
        <w:tc>
          <w:tcPr>
            <w:tcW w:w="1890" w:type="dxa"/>
            <w:noWrap/>
            <w:vAlign w:val="center"/>
          </w:tcPr>
          <w:p>
            <w:pPr>
              <w:jc w:val="center"/>
              <w:rPr>
                <w:snapToGrid w:val="0"/>
                <w:szCs w:val="21"/>
              </w:rPr>
            </w:pPr>
            <w:r>
              <w:rPr>
                <w:rFonts w:hint="eastAsia"/>
                <w:snapToGrid w:val="0"/>
                <w:szCs w:val="21"/>
              </w:rPr>
              <w:t>183.3</w:t>
            </w:r>
          </w:p>
        </w:tc>
        <w:tc>
          <w:tcPr>
            <w:tcW w:w="2501" w:type="dxa"/>
            <w:noWrap/>
            <w:vAlign w:val="center"/>
          </w:tcPr>
          <w:p>
            <w:pPr>
              <w:jc w:val="center"/>
              <w:rPr>
                <w:snapToGrid w:val="0"/>
                <w:szCs w:val="21"/>
              </w:rPr>
            </w:pPr>
            <w:r>
              <w:rPr>
                <w:rFonts w:hint="eastAsia"/>
                <w:snapToGrid w:val="0"/>
                <w:szCs w:val="21"/>
              </w:rPr>
              <w:t>2.87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914" w:type="dxa"/>
            <w:noWrap/>
            <w:vAlign w:val="center"/>
          </w:tcPr>
          <w:p>
            <w:pPr>
              <w:widowControl/>
              <w:jc w:val="center"/>
              <w:rPr>
                <w:rFonts w:hAnsi="宋体" w:eastAsia="宋体"/>
                <w:snapToGrid w:val="0"/>
                <w:szCs w:val="21"/>
              </w:rPr>
            </w:pPr>
            <w:r>
              <w:rPr>
                <w:rFonts w:hint="eastAsia" w:hAnsi="宋体"/>
                <w:snapToGrid w:val="0"/>
                <w:szCs w:val="21"/>
              </w:rPr>
              <w:t>白湖村河</w:t>
            </w:r>
          </w:p>
        </w:tc>
        <w:tc>
          <w:tcPr>
            <w:tcW w:w="2055" w:type="dxa"/>
            <w:noWrap/>
            <w:vAlign w:val="center"/>
          </w:tcPr>
          <w:p>
            <w:pPr>
              <w:snapToGrid w:val="0"/>
              <w:spacing w:line="400" w:lineRule="exact"/>
              <w:jc w:val="center"/>
              <w:rPr>
                <w:rFonts w:eastAsia="宋体"/>
                <w:snapToGrid w:val="0"/>
                <w:szCs w:val="21"/>
              </w:rPr>
            </w:pPr>
            <w:r>
              <w:rPr>
                <w:rFonts w:hint="eastAsia"/>
                <w:snapToGrid w:val="0"/>
                <w:szCs w:val="21"/>
              </w:rPr>
              <w:t>53.8</w:t>
            </w:r>
          </w:p>
        </w:tc>
        <w:tc>
          <w:tcPr>
            <w:tcW w:w="1890" w:type="dxa"/>
            <w:noWrap/>
            <w:vAlign w:val="center"/>
          </w:tcPr>
          <w:p>
            <w:pPr>
              <w:snapToGrid w:val="0"/>
              <w:spacing w:line="400" w:lineRule="exact"/>
              <w:jc w:val="center"/>
              <w:rPr>
                <w:rFonts w:eastAsia="宋体"/>
                <w:snapToGrid w:val="0"/>
                <w:szCs w:val="21"/>
              </w:rPr>
            </w:pPr>
            <w:r>
              <w:rPr>
                <w:rFonts w:hint="eastAsia"/>
                <w:snapToGrid w:val="0"/>
                <w:szCs w:val="21"/>
              </w:rPr>
              <w:t>156.3</w:t>
            </w:r>
          </w:p>
        </w:tc>
        <w:tc>
          <w:tcPr>
            <w:tcW w:w="2501" w:type="dxa"/>
            <w:noWrap/>
            <w:vAlign w:val="center"/>
          </w:tcPr>
          <w:p>
            <w:pPr>
              <w:snapToGrid w:val="0"/>
              <w:spacing w:line="400" w:lineRule="exact"/>
              <w:jc w:val="center"/>
              <w:rPr>
                <w:rFonts w:eastAsia="宋体"/>
                <w:snapToGrid w:val="0"/>
                <w:szCs w:val="21"/>
              </w:rPr>
            </w:pPr>
            <w:r>
              <w:rPr>
                <w:rFonts w:hint="eastAsia"/>
                <w:snapToGrid w:val="0"/>
                <w:szCs w:val="21"/>
              </w:rPr>
              <w:t>2.91</w:t>
            </w:r>
          </w:p>
        </w:tc>
      </w:tr>
    </w:tbl>
    <w:p>
      <w:pPr>
        <w:spacing w:before="156" w:line="360" w:lineRule="auto"/>
        <w:ind w:firstLine="480"/>
        <w:rPr>
          <w:snapToGrid w:val="0"/>
          <w:sz w:val="24"/>
          <w:szCs w:val="24"/>
        </w:rPr>
      </w:pPr>
      <w:r>
        <w:rPr>
          <w:rFonts w:hint="eastAsia"/>
          <w:sz w:val="28"/>
        </w:rPr>
        <w:t>从上表可以看出，两条河中白湖村河的控制流域面积小，洪峰模数较大，且设计洪水统计参数无异常变化，符合地区变化规律，统计参数符合本流域地区变化规律并与流域降雨特性一致，统计参数合理。故本次白湖村河设计洪水成果较为合理。</w:t>
      </w:r>
    </w:p>
    <w:p>
      <w:pPr>
        <w:pStyle w:val="5"/>
        <w:ind w:left="0" w:firstLine="0"/>
      </w:pPr>
      <w:bookmarkStart w:id="65" w:name="_Toc15228286"/>
      <w:bookmarkStart w:id="66" w:name="_Toc5829"/>
      <w:r>
        <w:rPr>
          <w:rFonts w:hint="eastAsia"/>
        </w:rPr>
        <w:t>洪水位标图</w:t>
      </w:r>
      <w:bookmarkEnd w:id="65"/>
      <w:bookmarkEnd w:id="66"/>
    </w:p>
    <w:p>
      <w:pPr>
        <w:pStyle w:val="2"/>
        <w:spacing w:line="480" w:lineRule="auto"/>
        <w:ind w:firstLine="560" w:firstLineChars="200"/>
        <w:rPr>
          <w:sz w:val="28"/>
        </w:rPr>
      </w:pPr>
      <w:r>
        <w:rPr>
          <w:rFonts w:hint="eastAsia" w:ascii="宋体" w:hAnsi="宋体" w:eastAsia="宋体" w:cs="Times New Roman"/>
          <w:sz w:val="28"/>
        </w:rPr>
        <w:t>根据本次方案计算得到的白湖村河道县河段的设计洪水位值，按河段长度按200米一段内插求取各河段的设计洪水位值。根据工作底图上的高程点和等高线等高程信息标注各河段的设计洪水位，然后在工作底图上将离散的点，连接成设计洪</w:t>
      </w:r>
      <w:r>
        <w:rPr>
          <w:rFonts w:hint="eastAsia"/>
          <w:sz w:val="28"/>
        </w:rPr>
        <w:t>水位线。</w:t>
      </w:r>
    </w:p>
    <w:p>
      <w:pPr>
        <w:pStyle w:val="5"/>
        <w:ind w:left="0" w:firstLine="0"/>
      </w:pPr>
      <w:bookmarkStart w:id="67" w:name="_Toc30696"/>
      <w:bookmarkStart w:id="68" w:name="_Toc15228287"/>
      <w:r>
        <w:rPr>
          <w:rFonts w:hint="eastAsia"/>
        </w:rPr>
        <w:t>管理范围界限初步划定</w:t>
      </w:r>
      <w:bookmarkEnd w:id="67"/>
      <w:bookmarkEnd w:id="68"/>
    </w:p>
    <w:p>
      <w:pPr>
        <w:pStyle w:val="41"/>
        <w:ind w:firstLine="560"/>
      </w:pPr>
      <w:r>
        <w:rPr>
          <w:rFonts w:hint="eastAsia" w:ascii="宋体" w:hAnsi="宋体" w:eastAsia="宋体" w:cs="Times New Roman"/>
        </w:rPr>
        <w:t>根据设计洪水位线和河段管理范围划定的标准，在工作底图上初步划定管理范围线。在管理范围划定时重点核查各河段原农村集体土地所有权调查的权属界线，看是否符合管理范围划定要求，是否与征地红线、土地使用证等相关权源资料一致，如果集体土地所有权调查成果符合管理范围划定的要求，且与相关权源资料一致，则以所有权确权成果作为管理范围线。如果集体土地所有权界线与管理范围划定的要求存在较大偏差，则不考虑农村集体土地所有权界线，直接按照管理范围划定要求划定</w:t>
      </w:r>
      <w:r>
        <w:rPr>
          <w:rFonts w:hint="eastAsia"/>
        </w:rPr>
        <w:t>。</w:t>
      </w:r>
    </w:p>
    <w:p>
      <w:pPr>
        <w:pStyle w:val="5"/>
        <w:ind w:left="0" w:firstLine="0"/>
      </w:pPr>
      <w:bookmarkStart w:id="69" w:name="_Toc15228288"/>
      <w:bookmarkStart w:id="70" w:name="_Toc1093"/>
      <w:r>
        <w:rPr>
          <w:rFonts w:hint="eastAsia"/>
        </w:rPr>
        <w:t>界桩和告示牌预布设</w:t>
      </w:r>
      <w:bookmarkEnd w:id="69"/>
      <w:bookmarkEnd w:id="70"/>
    </w:p>
    <w:p>
      <w:pPr>
        <w:pStyle w:val="41"/>
        <w:ind w:firstLine="560"/>
      </w:pPr>
      <w:r>
        <w:rPr>
          <w:rFonts w:hint="eastAsia"/>
        </w:rPr>
        <w:t>（1）界桩布设位置</w:t>
      </w:r>
    </w:p>
    <w:p>
      <w:pPr>
        <w:pStyle w:val="41"/>
        <w:ind w:firstLine="560"/>
      </w:pPr>
      <w:r>
        <w:rPr>
          <w:rFonts w:hint="eastAsia"/>
        </w:rPr>
        <w:t>在管理范围线上或附近范围内，按照界桩布设原则，选择布设界桩和告示牌。界桩和告示牌布设位置要尽量选择在不影响人民群众生产生活的地方，并且有利于界桩保护，比如不布设在耕地地块中间，而布设在耕地的田埂上、沿江公路选在绿化带上。</w:t>
      </w:r>
    </w:p>
    <w:p>
      <w:pPr>
        <w:pStyle w:val="41"/>
        <w:ind w:firstLine="560"/>
      </w:pPr>
      <w:r>
        <w:rPr>
          <w:rFonts w:hint="eastAsia"/>
        </w:rPr>
        <w:t>当按照界桩布设规则，界桩落在湿地、水域等不适宜埋设区域时，可在管理范围界线方向上调整界桩位置。</w:t>
      </w:r>
    </w:p>
    <w:p>
      <w:pPr>
        <w:pStyle w:val="41"/>
        <w:ind w:firstLine="560"/>
      </w:pPr>
      <w:r>
        <w:rPr>
          <w:rFonts w:hint="eastAsia"/>
        </w:rPr>
        <w:t>在无生产、生活、人类活动的陡崖、荒山、森林等河段，可根据实际情况加大界桩间距，但在下列情况应增设管理范围界桩：</w:t>
      </w:r>
    </w:p>
    <w:p>
      <w:pPr>
        <w:pStyle w:val="41"/>
        <w:ind w:firstLine="560"/>
      </w:pPr>
      <w:r>
        <w:rPr>
          <w:rFonts w:hint="eastAsia"/>
        </w:rPr>
        <w:t>a）重要下河通道（车行通道)；</w:t>
      </w:r>
    </w:p>
    <w:p>
      <w:pPr>
        <w:pStyle w:val="41"/>
        <w:ind w:firstLine="560"/>
      </w:pPr>
      <w:r>
        <w:rPr>
          <w:rFonts w:hint="eastAsia"/>
        </w:rPr>
        <w:t>b）重要码头、桥梁、取水口、电站等涉河设施处；</w:t>
      </w:r>
    </w:p>
    <w:p>
      <w:pPr>
        <w:pStyle w:val="41"/>
        <w:ind w:firstLine="560"/>
      </w:pPr>
      <w:r>
        <w:rPr>
          <w:rFonts w:hint="eastAsia"/>
        </w:rPr>
        <w:t>c）河道拐弯(角度小于120度)处；</w:t>
      </w:r>
    </w:p>
    <w:p>
      <w:pPr>
        <w:pStyle w:val="41"/>
        <w:ind w:firstLine="560"/>
      </w:pPr>
      <w:r>
        <w:rPr>
          <w:rFonts w:hint="eastAsia"/>
        </w:rPr>
        <w:t>d）水事纠纷和水事案件易发地段或行政界；</w:t>
      </w:r>
    </w:p>
    <w:p>
      <w:pPr>
        <w:pStyle w:val="41"/>
        <w:ind w:firstLine="560"/>
      </w:pPr>
      <w:r>
        <w:rPr>
          <w:rFonts w:hint="eastAsia"/>
        </w:rPr>
        <w:t>e）县界交界、河道尽头处应埋设界桩。</w:t>
      </w:r>
    </w:p>
    <w:p>
      <w:pPr>
        <w:pStyle w:val="41"/>
        <w:ind w:firstLine="560"/>
        <w:rPr>
          <w:color w:val="000000" w:themeColor="text1"/>
        </w:rPr>
      </w:pPr>
      <w:r>
        <w:rPr>
          <w:rFonts w:hint="eastAsia"/>
          <w:color w:val="000000" w:themeColor="text1"/>
        </w:rPr>
        <w:t>根据对白湖村河道县河段的实地调查，对于下述情况应该埋设公共界桩：</w:t>
      </w:r>
    </w:p>
    <w:p>
      <w:pPr>
        <w:pStyle w:val="41"/>
        <w:ind w:firstLine="560"/>
      </w:pPr>
      <w:r>
        <w:rPr>
          <w:rFonts w:ascii="Calibri" w:hAnsi="Calibri" w:cs="Calibri"/>
        </w:rPr>
        <w:t>①</w:t>
      </w:r>
      <w:r>
        <w:rPr>
          <w:rFonts w:hint="eastAsia"/>
        </w:rPr>
        <w:t>干、支河交汇处干、支河交汇处需设置公共界桩，并按照干河界桩埋设，支河划界成果信息化时需釆集公共桩数据并进行编号；干河管理范围内不再埋设支河管理范围界桩（如图2所示）。</w:t>
      </w:r>
    </w:p>
    <w:p>
      <w:pPr>
        <w:pStyle w:val="41"/>
        <w:ind w:firstLine="560"/>
      </w:pPr>
      <w:r>
        <w:rPr>
          <w:rFonts w:hint="eastAsia"/>
        </w:rPr>
        <w:drawing>
          <wp:inline distT="0" distB="0" distL="0" distR="0">
            <wp:extent cx="4676775" cy="2609850"/>
            <wp:effectExtent l="0" t="0" r="9525" b="0"/>
            <wp:docPr id="2" name="图片 11" descr="C:\QQ图片201606261438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C:\QQ图片20160626143823.png"/>
                    <pic:cNvPicPr>
                      <a:picLocks noChangeAspect="1" noChangeArrowheads="1"/>
                    </pic:cNvPicPr>
                  </pic:nvPicPr>
                  <pic:blipFill>
                    <a:blip r:embed="rId25" cstate="print"/>
                    <a:srcRect l="1355" t="2136"/>
                    <a:stretch>
                      <a:fillRect/>
                    </a:stretch>
                  </pic:blipFill>
                  <pic:spPr>
                    <a:xfrm>
                      <a:off x="0" y="0"/>
                      <a:ext cx="4676775" cy="2609850"/>
                    </a:xfrm>
                    <a:prstGeom prst="rect">
                      <a:avLst/>
                    </a:prstGeom>
                    <a:noFill/>
                    <a:ln w="9525">
                      <a:noFill/>
                      <a:miter lim="800000"/>
                      <a:headEnd/>
                      <a:tailEnd/>
                    </a:ln>
                  </pic:spPr>
                </pic:pic>
              </a:graphicData>
            </a:graphic>
          </wp:inline>
        </w:drawing>
      </w:r>
    </w:p>
    <w:p>
      <w:pPr>
        <w:pStyle w:val="41"/>
        <w:ind w:firstLine="560"/>
      </w:pPr>
      <w:r>
        <w:rPr>
          <w:rFonts w:ascii="Calibri" w:hAnsi="Calibri" w:cs="Calibri"/>
        </w:rPr>
        <w:t>②</w:t>
      </w:r>
      <w:r>
        <w:rPr>
          <w:rFonts w:hint="eastAsia"/>
        </w:rPr>
        <w:t>相邻行政区</w:t>
      </w:r>
    </w:p>
    <w:p>
      <w:pPr>
        <w:pStyle w:val="41"/>
        <w:ind w:firstLine="560"/>
      </w:pPr>
      <w:r>
        <w:rPr>
          <w:rFonts w:hint="eastAsia"/>
        </w:rPr>
        <w:t>相邻行政辖区管理范围在接边处需采用同一标准划定，管理范围与行政边界交汇处需设置公共界桩并按照上游（湖泊、水库等按照顺时针方向）行政区编号，下游划界成果信息化时需釆集公共桩数据并作为起始编号，公共界桩仅作为管理范围界线标识，不表征行政区划界线（如图3所示）。</w:t>
      </w:r>
    </w:p>
    <w:p>
      <w:pPr>
        <w:pStyle w:val="41"/>
        <w:ind w:firstLine="560"/>
      </w:pPr>
      <w:r>
        <w:rPr>
          <w:rFonts w:hint="eastAsia"/>
        </w:rPr>
        <w:drawing>
          <wp:inline distT="0" distB="0" distL="0" distR="0">
            <wp:extent cx="4333875" cy="2419350"/>
            <wp:effectExtent l="0" t="0" r="9525" b="0"/>
            <wp:docPr id="5" name="图片 16" descr="C:\QQ图片20160626144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6" descr="C:\QQ图片20160626144812.png"/>
                    <pic:cNvPicPr>
                      <a:picLocks noChangeAspect="1" noChangeArrowheads="1"/>
                    </pic:cNvPicPr>
                  </pic:nvPicPr>
                  <pic:blipFill>
                    <a:blip r:embed="rId26" cstate="print"/>
                    <a:srcRect l="1355" t="2370"/>
                    <a:stretch>
                      <a:fillRect/>
                    </a:stretch>
                  </pic:blipFill>
                  <pic:spPr>
                    <a:xfrm>
                      <a:off x="0" y="0"/>
                      <a:ext cx="4333875" cy="2419350"/>
                    </a:xfrm>
                    <a:prstGeom prst="rect">
                      <a:avLst/>
                    </a:prstGeom>
                    <a:noFill/>
                    <a:ln w="9525">
                      <a:noFill/>
                      <a:miter lim="800000"/>
                      <a:headEnd/>
                      <a:tailEnd/>
                    </a:ln>
                  </pic:spPr>
                </pic:pic>
              </a:graphicData>
            </a:graphic>
          </wp:inline>
        </w:drawing>
      </w:r>
    </w:p>
    <w:p>
      <w:pPr>
        <w:pStyle w:val="41"/>
        <w:ind w:firstLine="560"/>
        <w:jc w:val="center"/>
      </w:pPr>
      <w:r>
        <w:rPr>
          <w:rFonts w:hint="eastAsia"/>
        </w:rPr>
        <w:t>图3相邻行政界线</w:t>
      </w:r>
    </w:p>
    <w:p>
      <w:pPr>
        <w:pStyle w:val="41"/>
        <w:ind w:firstLine="560"/>
      </w:pPr>
      <w:r>
        <w:rPr>
          <w:rFonts w:hint="eastAsia"/>
        </w:rPr>
        <w:t>（2）告示牌布设位置</w:t>
      </w:r>
    </w:p>
    <w:p>
      <w:pPr>
        <w:pStyle w:val="41"/>
        <w:ind w:firstLine="560"/>
      </w:pPr>
      <w:r>
        <w:rPr>
          <w:rFonts w:hint="eastAsia"/>
        </w:rPr>
        <w:t>城市规划区告示牌不少于3处，城镇规划区告示牌不少于1处。告示牌通常设置在下述位置：</w:t>
      </w:r>
    </w:p>
    <w:p>
      <w:pPr>
        <w:pStyle w:val="41"/>
        <w:ind w:firstLine="560"/>
      </w:pPr>
      <w:r>
        <w:rPr>
          <w:rFonts w:hint="eastAsia"/>
        </w:rPr>
        <w:t>a)穿越城镇规划区上、下游；</w:t>
      </w:r>
    </w:p>
    <w:p>
      <w:pPr>
        <w:pStyle w:val="41"/>
        <w:ind w:firstLine="560"/>
      </w:pPr>
      <w:r>
        <w:rPr>
          <w:rFonts w:hint="eastAsia"/>
        </w:rPr>
        <w:t>b)重要下河通道（车行通道）；</w:t>
      </w:r>
    </w:p>
    <w:p>
      <w:pPr>
        <w:pStyle w:val="41"/>
        <w:ind w:firstLine="560"/>
      </w:pPr>
      <w:r>
        <w:rPr>
          <w:rFonts w:hint="eastAsia"/>
        </w:rPr>
        <w:t>c)人口密集或人流聚集地点河岸。</w:t>
      </w:r>
    </w:p>
    <w:p>
      <w:pPr>
        <w:pStyle w:val="41"/>
        <w:ind w:firstLine="560"/>
      </w:pPr>
      <w:bookmarkStart w:id="71" w:name="_Toc463087608"/>
      <w:r>
        <w:rPr>
          <w:rFonts w:hint="eastAsia"/>
        </w:rPr>
        <w:t>（3）界桩和告示牌点位略图制作</w:t>
      </w:r>
      <w:bookmarkEnd w:id="71"/>
    </w:p>
    <w:p>
      <w:pPr>
        <w:pStyle w:val="41"/>
        <w:ind w:firstLine="560"/>
      </w:pPr>
      <w:r>
        <w:rPr>
          <w:rFonts w:hint="eastAsia"/>
        </w:rPr>
        <w:t>界桩和告示牌布设完毕后，要以县区河段为一个单元，分别从下游向上游编号，制作界桩和告示牌布设图，并通过截取工作底图的模式制作界桩点和告示牌点位略图，点位略图要覆盖界桩点和告示牌周边一定范围，以方便埋设位置的快速查找，同时要在截图上标识界桩和告示牌的位置和编号，界桩和告示牌点点位略图以点编号命名。</w:t>
      </w:r>
    </w:p>
    <w:p>
      <w:pPr>
        <w:pStyle w:val="4"/>
        <w:ind w:left="0" w:firstLine="0"/>
      </w:pPr>
      <w:bookmarkStart w:id="72" w:name="_Toc13200"/>
      <w:bookmarkStart w:id="73" w:name="_Toc15228289"/>
      <w:r>
        <w:rPr>
          <w:rFonts w:hint="eastAsia"/>
        </w:rPr>
        <w:t>管理范围线实地修正</w:t>
      </w:r>
      <w:bookmarkEnd w:id="72"/>
      <w:bookmarkEnd w:id="73"/>
    </w:p>
    <w:p>
      <w:pPr>
        <w:pStyle w:val="2"/>
        <w:spacing w:line="480" w:lineRule="auto"/>
        <w:ind w:firstLine="480"/>
        <w:rPr>
          <w:sz w:val="28"/>
        </w:rPr>
      </w:pPr>
      <w:r>
        <w:rPr>
          <w:sz w:val="28"/>
        </w:rPr>
        <w:t>对照工作底图，</w:t>
      </w:r>
      <w:r>
        <w:rPr>
          <w:rFonts w:hint="eastAsia"/>
          <w:sz w:val="28"/>
        </w:rPr>
        <w:t>我队</w:t>
      </w:r>
      <w:r>
        <w:rPr>
          <w:sz w:val="28"/>
        </w:rPr>
        <w:t>工作人员</w:t>
      </w:r>
      <w:r>
        <w:rPr>
          <w:rFonts w:hint="eastAsia"/>
          <w:sz w:val="28"/>
        </w:rPr>
        <w:t>对照工作底图</w:t>
      </w:r>
      <w:r>
        <w:rPr>
          <w:sz w:val="28"/>
        </w:rPr>
        <w:t>查看初步划定的管理范围线的走向和界桩的布设情况，并根据实地现场情况及堤防、河道管理相关政策要求，对局部河段的管理范围线进行了调整，并调整确定界桩埋设位置，编制了本次管理范围界线划定方案并绘制了管理范围划定图</w:t>
      </w:r>
      <w:r>
        <w:rPr>
          <w:rFonts w:hint="eastAsia"/>
          <w:sz w:val="28"/>
        </w:rPr>
        <w:t>。</w:t>
      </w:r>
    </w:p>
    <w:p>
      <w:pPr>
        <w:pStyle w:val="3"/>
        <w:ind w:left="0" w:firstLine="0"/>
      </w:pPr>
      <w:bookmarkStart w:id="74" w:name="_Toc15228290"/>
      <w:bookmarkStart w:id="75" w:name="_Toc15740"/>
      <w:r>
        <w:rPr>
          <w:rFonts w:hint="eastAsia"/>
        </w:rPr>
        <w:t>划界</w:t>
      </w:r>
      <w:bookmarkEnd w:id="74"/>
      <w:r>
        <w:rPr>
          <w:rFonts w:hint="eastAsia"/>
        </w:rPr>
        <w:t>依据和标准</w:t>
      </w:r>
      <w:bookmarkEnd w:id="75"/>
    </w:p>
    <w:p>
      <w:pPr>
        <w:pStyle w:val="41"/>
        <w:ind w:firstLine="560"/>
      </w:pPr>
      <w:r>
        <w:rPr>
          <w:rFonts w:hint="eastAsia"/>
        </w:rPr>
        <w:t>河道管理范围划界标准依据《中华人民共和国水法》、《中华人民共和国防洪法》、《中华人民共和国河道管理条例》、《湖南省实施〈中华人</w:t>
      </w:r>
      <w:r>
        <w:rPr>
          <w:rFonts w:hint="eastAsia" w:ascii="宋体" w:hAnsi="宋体" w:eastAsia="宋体" w:cs="Times New Roman"/>
        </w:rPr>
        <w:t>民共和国水法〉办法》、《湖南省实施〈中华人民共和国河道管理条例〉办法》、《防洪标准》（GB50201-2014）、《堤防工程设计规范》（GB50286-2013）等法律法规以及相关规</w:t>
      </w:r>
      <w:r>
        <w:rPr>
          <w:rFonts w:hint="eastAsia"/>
        </w:rPr>
        <w:t>范</w:t>
      </w:r>
      <w:r>
        <w:t>确定。</w:t>
      </w:r>
    </w:p>
    <w:p>
      <w:pPr>
        <w:pStyle w:val="2"/>
        <w:spacing w:line="480" w:lineRule="auto"/>
        <w:ind w:firstLine="560" w:firstLineChars="200"/>
        <w:rPr>
          <w:sz w:val="28"/>
        </w:rPr>
      </w:pPr>
      <w:r>
        <w:rPr>
          <w:rFonts w:hint="eastAsia"/>
          <w:sz w:val="28"/>
        </w:rPr>
        <w:t>白湖村河道县河段划定</w:t>
      </w:r>
      <w:r>
        <w:rPr>
          <w:sz w:val="28"/>
        </w:rPr>
        <w:t>方案工作的划界原则根据相关法律法规、</w:t>
      </w:r>
      <w:r>
        <w:rPr>
          <w:rFonts w:hint="eastAsia"/>
          <w:sz w:val="28"/>
        </w:rPr>
        <w:t>规范、</w:t>
      </w:r>
      <w:r>
        <w:rPr>
          <w:sz w:val="28"/>
        </w:rPr>
        <w:t>技术导则及</w:t>
      </w:r>
      <w:r>
        <w:rPr>
          <w:rFonts w:hint="eastAsia"/>
          <w:sz w:val="28"/>
        </w:rPr>
        <w:t>道县</w:t>
      </w:r>
      <w:r>
        <w:rPr>
          <w:sz w:val="28"/>
        </w:rPr>
        <w:t>实际情况进行实施，</w:t>
      </w:r>
      <w:r>
        <w:rPr>
          <w:rFonts w:hint="eastAsia"/>
          <w:sz w:val="28"/>
        </w:rPr>
        <w:t>白湖村河河道县河段</w:t>
      </w:r>
      <w:r>
        <w:rPr>
          <w:sz w:val="28"/>
        </w:rPr>
        <w:t>河道</w:t>
      </w:r>
      <w:r>
        <w:rPr>
          <w:rFonts w:hint="eastAsia"/>
          <w:sz w:val="28"/>
        </w:rPr>
        <w:t>均为天然</w:t>
      </w:r>
      <w:r>
        <w:rPr>
          <w:sz w:val="28"/>
        </w:rPr>
        <w:t>无堤防</w:t>
      </w:r>
      <w:r>
        <w:rPr>
          <w:rFonts w:hint="eastAsia"/>
          <w:sz w:val="28"/>
        </w:rPr>
        <w:t>河道</w:t>
      </w:r>
      <w:r>
        <w:rPr>
          <w:sz w:val="28"/>
        </w:rPr>
        <w:t>，具体划界原则如下</w:t>
      </w:r>
      <w:r>
        <w:rPr>
          <w:rFonts w:hint="eastAsia"/>
          <w:sz w:val="28"/>
        </w:rPr>
        <w:t>：</w:t>
      </w:r>
    </w:p>
    <w:p>
      <w:pPr>
        <w:pStyle w:val="4"/>
        <w:ind w:left="0" w:firstLine="0"/>
      </w:pPr>
      <w:bookmarkStart w:id="76" w:name="_Toc22910"/>
      <w:r>
        <w:rPr>
          <w:rFonts w:hint="eastAsia"/>
        </w:rPr>
        <w:t>无堤防的河道管理范围划界标准和依据</w:t>
      </w:r>
      <w:bookmarkEnd w:id="76"/>
    </w:p>
    <w:p>
      <w:pPr>
        <w:pStyle w:val="41"/>
        <w:ind w:firstLine="560"/>
        <w:rPr>
          <w:rFonts w:ascii="宋体" w:hAnsi="宋体" w:eastAsia="宋体" w:cs="Times New Roman"/>
        </w:rPr>
      </w:pPr>
      <w:r>
        <w:rPr>
          <w:rFonts w:hint="eastAsia" w:ascii="宋体" w:hAnsi="宋体" w:eastAsia="宋体" w:cs="Times New Roman"/>
        </w:rPr>
        <w:t>（1）无堤防的河道、湖泊管理范围界线应为设计洪水位或历史最高洪水位线，划界设计洪水标准按防洪规划确定，无防洪规划的按《防洪标准》（GB50201-2014）确定，具体范围应以防洪规划和影响对象的重要性确定。</w:t>
      </w:r>
    </w:p>
    <w:p>
      <w:pPr>
        <w:pStyle w:val="41"/>
        <w:ind w:firstLine="560"/>
        <w:rPr>
          <w:rFonts w:ascii="宋体" w:hAnsi="宋体" w:eastAsia="宋体" w:cs="Times New Roman"/>
        </w:rPr>
      </w:pPr>
      <w:r>
        <w:rPr>
          <w:rFonts w:hint="eastAsia" w:ascii="宋体" w:hAnsi="宋体" w:eastAsia="宋体" w:cs="Times New Roman"/>
        </w:rPr>
        <w:t>（2）平原河道，当设计洪水位覆盖面积过大时，可以以河口向外延伸30至50m，（经过城镇的堤段不得少于10m）确定管理范围。</w:t>
      </w:r>
    </w:p>
    <w:p>
      <w:pPr>
        <w:pStyle w:val="41"/>
        <w:ind w:firstLine="560"/>
        <w:rPr>
          <w:rFonts w:ascii="宋体" w:hAnsi="宋体" w:eastAsia="宋体" w:cs="Times New Roman"/>
        </w:rPr>
      </w:pPr>
      <w:r>
        <w:rPr>
          <w:rFonts w:hint="eastAsia" w:ascii="宋体" w:hAnsi="宋体" w:eastAsia="宋体" w:cs="Times New Roman"/>
        </w:rPr>
        <w:t>（3）如果农村集体土地所有权确权调查成果或水利工程已征地范围线符合上述管理范围划定要求，则以所有权确权调查成果或征地范围线作为管理范围线。</w:t>
      </w:r>
    </w:p>
    <w:p>
      <w:pPr>
        <w:pStyle w:val="41"/>
        <w:ind w:firstLine="560"/>
        <w:rPr>
          <w:rFonts w:ascii="宋体" w:hAnsi="宋体" w:eastAsia="宋体" w:cs="Times New Roman"/>
        </w:rPr>
      </w:pPr>
      <w:r>
        <w:rPr>
          <w:rFonts w:hint="eastAsia" w:ascii="宋体" w:hAnsi="宋体" w:eastAsia="宋体" w:cs="Times New Roman"/>
        </w:rPr>
        <w:t>（4）管理范围线走向尽量与线状地物一致，不影响正常生产生活，对于田埂等细小线状地物，管理范围线尽量沿细小线状地物中线，对于道路等有一定宽度的线状地物尽量沿边线或绿化带。</w:t>
      </w:r>
    </w:p>
    <w:p>
      <w:pPr>
        <w:pStyle w:val="41"/>
        <w:ind w:firstLine="560"/>
        <w:rPr>
          <w:rFonts w:ascii="宋体" w:hAnsi="宋体" w:eastAsia="宋体" w:cs="Times New Roman"/>
        </w:rPr>
      </w:pPr>
      <w:r>
        <w:rPr>
          <w:rFonts w:hint="eastAsia" w:ascii="宋体" w:hAnsi="宋体" w:eastAsia="宋体" w:cs="Times New Roman"/>
        </w:rPr>
        <w:t>（5）对于缺少设计洪水位资料的无堤防河道、水库和湖泊，要进行设计洪水分析计算。</w:t>
      </w:r>
    </w:p>
    <w:p>
      <w:pPr>
        <w:pStyle w:val="41"/>
        <w:ind w:firstLine="560"/>
      </w:pPr>
      <w:r>
        <w:rPr>
          <w:rFonts w:hint="eastAsia" w:ascii="宋体" w:hAnsi="宋体" w:eastAsia="宋体" w:cs="Times New Roman"/>
        </w:rPr>
        <w:t>根据相关法律法规及技术导则，无堤防的河道管理范围界线应根据设计洪水位确定。结合白湖村河道县河段实际情况，采用10年一遇设计洪水位作为河道管理范围</w:t>
      </w:r>
      <w:r>
        <w:rPr>
          <w:rFonts w:hint="eastAsia"/>
        </w:rPr>
        <w:t>。</w:t>
      </w:r>
    </w:p>
    <w:p>
      <w:pPr>
        <w:pStyle w:val="2"/>
        <w:spacing w:after="0" w:line="600" w:lineRule="exact"/>
        <w:ind w:firstLine="560"/>
        <w:rPr>
          <w:b/>
        </w:rPr>
      </w:pPr>
      <w:r>
        <w:rPr>
          <w:rFonts w:hint="eastAsia"/>
          <w:sz w:val="28"/>
        </w:rPr>
        <w:t>白湖村河道县段管理范围划定标准见下表：</w:t>
      </w:r>
    </w:p>
    <w:p>
      <w:pPr>
        <w:jc w:val="left"/>
        <w:rPr>
          <w:sz w:val="28"/>
        </w:rPr>
      </w:pPr>
      <w:r>
        <w:rPr>
          <w:rFonts w:hint="eastAsia"/>
          <w:b/>
        </w:rPr>
        <w:t>表9                  白湖村河道县河段管理范围划定标准表</w:t>
      </w:r>
    </w:p>
    <w:tbl>
      <w:tblPr>
        <w:tblStyle w:val="22"/>
        <w:tblW w:w="8662" w:type="dxa"/>
        <w:tblInd w:w="93" w:type="dxa"/>
        <w:tblLayout w:type="fixed"/>
        <w:tblCellMar>
          <w:top w:w="0" w:type="dxa"/>
          <w:left w:w="108" w:type="dxa"/>
          <w:bottom w:w="0" w:type="dxa"/>
          <w:right w:w="108" w:type="dxa"/>
        </w:tblCellMar>
      </w:tblPr>
      <w:tblGrid>
        <w:gridCol w:w="415"/>
        <w:gridCol w:w="415"/>
        <w:gridCol w:w="886"/>
        <w:gridCol w:w="1134"/>
        <w:gridCol w:w="851"/>
        <w:gridCol w:w="1134"/>
        <w:gridCol w:w="425"/>
        <w:gridCol w:w="1276"/>
        <w:gridCol w:w="850"/>
        <w:gridCol w:w="1276"/>
      </w:tblGrid>
      <w:tr>
        <w:tblPrEx>
          <w:tblCellMar>
            <w:top w:w="0" w:type="dxa"/>
            <w:left w:w="108" w:type="dxa"/>
            <w:bottom w:w="0" w:type="dxa"/>
            <w:right w:w="108" w:type="dxa"/>
          </w:tblCellMar>
        </w:tblPrEx>
        <w:trPr>
          <w:trHeight w:val="300" w:hRule="atLeast"/>
          <w:tblHeader/>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岸别</w:t>
            </w:r>
          </w:p>
        </w:tc>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类别</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起点</w:t>
            </w:r>
          </w:p>
        </w:tc>
        <w:tc>
          <w:tcPr>
            <w:tcW w:w="1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终点</w:t>
            </w:r>
          </w:p>
        </w:tc>
        <w:tc>
          <w:tcPr>
            <w:tcW w:w="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河段属性</w:t>
            </w:r>
          </w:p>
        </w:tc>
        <w:tc>
          <w:tcPr>
            <w:tcW w:w="12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依据</w:t>
            </w:r>
          </w:p>
        </w:tc>
        <w:tc>
          <w:tcPr>
            <w:tcW w:w="2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划界标准</w:t>
            </w:r>
          </w:p>
        </w:tc>
      </w:tr>
      <w:tr>
        <w:tblPrEx>
          <w:tblCellMar>
            <w:top w:w="0" w:type="dxa"/>
            <w:left w:w="108" w:type="dxa"/>
            <w:bottom w:w="0" w:type="dxa"/>
            <w:right w:w="108" w:type="dxa"/>
          </w:tblCellMar>
        </w:tblPrEx>
        <w:trPr>
          <w:trHeight w:val="540" w:hRule="atLeast"/>
          <w:tblHeader/>
        </w:trPr>
        <w:tc>
          <w:tcPr>
            <w:tcW w:w="4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4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河道里程数（</w:t>
            </w:r>
            <w:r>
              <w:rPr>
                <w:rFonts w:ascii="Calibri" w:hAnsi="Calibri" w:eastAsia="宋体" w:cs="宋体"/>
                <w:color w:val="000000"/>
                <w:kern w:val="0"/>
                <w:sz w:val="20"/>
                <w:szCs w:val="20"/>
              </w:rPr>
              <w:t>km</w:t>
            </w:r>
            <w:r>
              <w:rPr>
                <w:rFonts w:ascii="宋体" w:hAnsi="宋体" w:eastAsia="宋体" w:cs="宋体"/>
                <w:color w:val="000000"/>
                <w:kern w:val="0"/>
                <w:sz w:val="20"/>
                <w:szCs w:val="20"/>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点位坐标</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河道里程数（</w:t>
            </w:r>
            <w:r>
              <w:rPr>
                <w:rFonts w:ascii="Calibri" w:hAnsi="Calibri" w:eastAsia="宋体" w:cs="宋体"/>
                <w:color w:val="000000"/>
                <w:kern w:val="0"/>
                <w:sz w:val="20"/>
                <w:szCs w:val="20"/>
              </w:rPr>
              <w:t>km</w:t>
            </w:r>
            <w:r>
              <w:rPr>
                <w:rFonts w:ascii="宋体" w:hAnsi="宋体" w:eastAsia="宋体" w:cs="宋体"/>
                <w:color w:val="000000"/>
                <w:kern w:val="0"/>
                <w:sz w:val="20"/>
                <w:szCs w:val="20"/>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点位坐标</w:t>
            </w:r>
          </w:p>
        </w:tc>
        <w:tc>
          <w:tcPr>
            <w:tcW w:w="42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127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护堤地范围</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其他标准</w:t>
            </w:r>
          </w:p>
        </w:tc>
      </w:tr>
      <w:tr>
        <w:tblPrEx>
          <w:tblCellMar>
            <w:top w:w="0" w:type="dxa"/>
            <w:left w:w="108" w:type="dxa"/>
            <w:bottom w:w="0" w:type="dxa"/>
            <w:right w:w="108" w:type="dxa"/>
          </w:tblCellMar>
        </w:tblPrEx>
        <w:trPr>
          <w:trHeight w:val="90" w:hRule="atLeast"/>
        </w:trPr>
        <w:tc>
          <w:tcPr>
            <w:tcW w:w="415"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左岸</w:t>
            </w: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无堤防</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ascii="宋体" w:hAnsi="宋体" w:eastAsia="宋体" w:cs="宋体"/>
                <w:color w:val="000000"/>
                <w:kern w:val="0"/>
                <w:sz w:val="16"/>
                <w:szCs w:val="16"/>
              </w:rPr>
            </w:pPr>
            <w:r>
              <w:rPr>
                <w:rFonts w:hint="eastAsia"/>
                <w:sz w:val="15"/>
                <w:szCs w:val="15"/>
              </w:rPr>
              <w:t>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ascii="宋体" w:hAnsi="宋体" w:eastAsia="宋体" w:cs="宋体"/>
                <w:color w:val="000000"/>
                <w:kern w:val="0"/>
                <w:sz w:val="16"/>
                <w:szCs w:val="16"/>
              </w:rPr>
            </w:pPr>
            <w:r>
              <w:rPr>
                <w:rFonts w:hint="eastAsia"/>
                <w:color w:val="000000" w:themeColor="text1"/>
                <w:sz w:val="15"/>
                <w:szCs w:val="15"/>
              </w:rPr>
              <w:t>2809160.91，550153.04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ascii="宋体" w:hAnsi="宋体" w:eastAsia="宋体" w:cs="宋体"/>
                <w:color w:val="000000"/>
                <w:kern w:val="0"/>
                <w:sz w:val="16"/>
                <w:szCs w:val="16"/>
              </w:rPr>
            </w:pPr>
            <w:r>
              <w:rPr>
                <w:rFonts w:hint="eastAsia"/>
                <w:sz w:val="15"/>
                <w:szCs w:val="15"/>
              </w:rPr>
              <w:t>5.</w:t>
            </w:r>
            <w:r>
              <w:rPr>
                <w:rFonts w:hint="eastAsia"/>
                <w:sz w:val="15"/>
                <w:szCs w:val="15"/>
                <w:lang w:val="en-US" w:eastAsia="zh-CN"/>
              </w:rPr>
              <w:t>40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ascii="宋体" w:hAnsi="宋体" w:eastAsia="宋体" w:cs="宋体"/>
                <w:color w:val="000000"/>
                <w:kern w:val="0"/>
                <w:sz w:val="16"/>
                <w:szCs w:val="16"/>
              </w:rPr>
            </w:pPr>
            <w:r>
              <w:rPr>
                <w:rFonts w:hint="eastAsia"/>
                <w:color w:val="000000" w:themeColor="text1"/>
                <w:sz w:val="15"/>
                <w:szCs w:val="15"/>
                <w:lang w:val="en-US" w:eastAsia="zh-CN"/>
              </w:rPr>
              <w:t>2805357.08,546930.73</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农村河段</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rPr>
                <w:rFonts w:ascii="宋体" w:hAnsi="宋体" w:eastAsia="宋体" w:cs="宋体"/>
                <w:color w:val="000000"/>
                <w:kern w:val="0"/>
                <w:sz w:val="16"/>
                <w:szCs w:val="16"/>
              </w:rPr>
            </w:pPr>
            <w:r>
              <w:rPr>
                <w:rFonts w:hint="eastAsia" w:ascii="宋体" w:hAnsi="宋体" w:eastAsia="宋体" w:cs="宋体"/>
                <w:color w:val="000000"/>
                <w:kern w:val="0"/>
                <w:sz w:val="16"/>
                <w:szCs w:val="16"/>
              </w:rPr>
              <w:t>湖南省河湖管理范围划定技术导则3.2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Theme="minorEastAsia" w:hAnsiTheme="minorEastAsia" w:cstheme="minorEastAsia"/>
                <w:iCs/>
                <w:color w:val="000000" w:themeColor="text1"/>
                <w:sz w:val="16"/>
              </w:rPr>
              <w:t>无堤防河段的管理范围根据设计洪水位来划定</w:t>
            </w:r>
          </w:p>
        </w:tc>
      </w:tr>
      <w:tr>
        <w:tblPrEx>
          <w:tblCellMar>
            <w:top w:w="0" w:type="dxa"/>
            <w:left w:w="108" w:type="dxa"/>
            <w:bottom w:w="0" w:type="dxa"/>
            <w:right w:w="108" w:type="dxa"/>
          </w:tblCellMar>
        </w:tblPrEx>
        <w:trPr>
          <w:trHeight w:val="90" w:hRule="atLeast"/>
        </w:trPr>
        <w:tc>
          <w:tcPr>
            <w:tcW w:w="415" w:type="dxa"/>
            <w:vMerge w:val="continue"/>
            <w:tcBorders>
              <w:left w:val="single" w:color="000000"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2"/>
              </w:rPr>
            </w:pP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16"/>
                <w:szCs w:val="16"/>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hint="eastAsia" w:ascii="宋体" w:hAnsi="宋体" w:eastAsia="宋体" w:cs="宋体"/>
                <w:sz w:val="16"/>
                <w:szCs w:val="16"/>
              </w:rPr>
            </w:pPr>
            <w:r>
              <w:rPr>
                <w:rFonts w:hint="eastAsia"/>
                <w:sz w:val="15"/>
                <w:szCs w:val="15"/>
              </w:rPr>
              <w:t>5.</w:t>
            </w:r>
            <w:r>
              <w:rPr>
                <w:rFonts w:hint="eastAsia"/>
                <w:sz w:val="15"/>
                <w:szCs w:val="15"/>
                <w:lang w:val="en-US" w:eastAsia="zh-CN"/>
              </w:rPr>
              <w:t>40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hint="eastAsia" w:ascii="宋体" w:hAnsi="宋体" w:eastAsia="宋体" w:cs="宋体"/>
                <w:sz w:val="16"/>
                <w:szCs w:val="16"/>
              </w:rPr>
            </w:pPr>
            <w:r>
              <w:rPr>
                <w:rFonts w:hint="eastAsia"/>
                <w:color w:val="000000" w:themeColor="text1"/>
                <w:sz w:val="15"/>
                <w:szCs w:val="15"/>
                <w:lang w:val="en-US" w:eastAsia="zh-CN"/>
              </w:rPr>
              <w:t>2805357.08,546930.73</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hint="eastAsia" w:ascii="宋体" w:hAnsi="宋体" w:eastAsia="宋体" w:cs="宋体"/>
                <w:sz w:val="16"/>
                <w:szCs w:val="16"/>
              </w:rPr>
            </w:pPr>
            <w:r>
              <w:rPr>
                <w:rFonts w:hint="eastAsia"/>
                <w:sz w:val="15"/>
                <w:szCs w:val="15"/>
                <w:lang w:val="en-US" w:eastAsia="zh-CN"/>
              </w:rPr>
              <w:t>6.52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hint="eastAsia" w:ascii="宋体" w:hAnsi="宋体" w:eastAsia="宋体" w:cs="宋体"/>
                <w:sz w:val="16"/>
                <w:szCs w:val="16"/>
              </w:rPr>
            </w:pPr>
            <w:r>
              <w:rPr>
                <w:rFonts w:hint="eastAsia"/>
                <w:color w:val="000000" w:themeColor="text1"/>
                <w:sz w:val="15"/>
                <w:szCs w:val="15"/>
              </w:rPr>
              <w:t>2804252.90，546712.9</w:t>
            </w:r>
            <w:r>
              <w:rPr>
                <w:rFonts w:hint="eastAsia"/>
                <w:color w:val="000000" w:themeColor="text1"/>
                <w:sz w:val="15"/>
                <w:szCs w:val="15"/>
                <w:lang w:val="en-US" w:eastAsia="zh-CN"/>
              </w:rPr>
              <w:t>4</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农村河段</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rPr>
                <w:rFonts w:hint="eastAsia" w:ascii="宋体" w:hAnsi="宋体" w:eastAsia="宋体" w:cs="宋体"/>
                <w:color w:val="000000"/>
                <w:kern w:val="0"/>
                <w:sz w:val="16"/>
                <w:szCs w:val="16"/>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Theme="minorEastAsia" w:hAnsiTheme="minorEastAsia" w:cstheme="minorEastAsia"/>
                <w:iCs/>
                <w:color w:val="000000" w:themeColor="text1"/>
                <w:sz w:val="16"/>
              </w:rPr>
            </w:pPr>
            <w:r>
              <w:rPr>
                <w:rFonts w:hint="eastAsia"/>
                <w:sz w:val="21"/>
                <w:szCs w:val="21"/>
                <w:lang w:val="en-US" w:eastAsia="zh-CN"/>
              </w:rPr>
              <w:t>该河段为江永管理范围</w:t>
            </w:r>
          </w:p>
        </w:tc>
      </w:tr>
      <w:tr>
        <w:tblPrEx>
          <w:tblCellMar>
            <w:top w:w="0" w:type="dxa"/>
            <w:left w:w="108" w:type="dxa"/>
            <w:bottom w:w="0" w:type="dxa"/>
            <w:right w:w="108" w:type="dxa"/>
          </w:tblCellMar>
        </w:tblPrEx>
        <w:trPr>
          <w:trHeight w:val="1020" w:hRule="atLeast"/>
        </w:trPr>
        <w:tc>
          <w:tcPr>
            <w:tcW w:w="415"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无堤防</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ascii="宋体" w:hAnsi="宋体" w:eastAsia="宋体" w:cs="宋体"/>
                <w:color w:val="000000"/>
                <w:kern w:val="0"/>
                <w:sz w:val="16"/>
                <w:szCs w:val="16"/>
              </w:rPr>
            </w:pPr>
            <w:r>
              <w:rPr>
                <w:rFonts w:hint="eastAsia"/>
                <w:sz w:val="15"/>
                <w:szCs w:val="15"/>
                <w:lang w:val="en-US" w:eastAsia="zh-CN"/>
              </w:rPr>
              <w:t>6.52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ascii="宋体" w:hAnsi="宋体" w:eastAsia="宋体" w:cs="宋体"/>
                <w:color w:val="000000"/>
                <w:kern w:val="0"/>
                <w:sz w:val="16"/>
                <w:szCs w:val="16"/>
              </w:rPr>
            </w:pPr>
            <w:r>
              <w:rPr>
                <w:rFonts w:hint="eastAsia"/>
                <w:color w:val="000000" w:themeColor="text1"/>
                <w:sz w:val="15"/>
                <w:szCs w:val="15"/>
              </w:rPr>
              <w:t>2804252.90，546712.9</w:t>
            </w:r>
            <w:r>
              <w:rPr>
                <w:rFonts w:hint="eastAsia"/>
                <w:color w:val="000000" w:themeColor="text1"/>
                <w:sz w:val="15"/>
                <w:szCs w:val="15"/>
                <w:lang w:val="en-US" w:eastAsia="zh-CN"/>
              </w:rPr>
              <w:t>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ascii="宋体" w:hAnsi="宋体" w:eastAsia="宋体" w:cs="宋体"/>
                <w:color w:val="000000"/>
                <w:kern w:val="0"/>
                <w:sz w:val="16"/>
                <w:szCs w:val="16"/>
              </w:rPr>
            </w:pPr>
            <w:r>
              <w:rPr>
                <w:rFonts w:hint="eastAsia"/>
                <w:sz w:val="15"/>
                <w:szCs w:val="15"/>
                <w:lang w:val="en-US" w:eastAsia="zh-CN"/>
              </w:rPr>
              <w:t>8.02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ascii="宋体" w:hAnsi="宋体" w:eastAsia="宋体" w:cs="宋体"/>
                <w:color w:val="000000"/>
                <w:kern w:val="0"/>
                <w:sz w:val="16"/>
                <w:szCs w:val="16"/>
              </w:rPr>
            </w:pPr>
            <w:r>
              <w:rPr>
                <w:rFonts w:hint="eastAsia"/>
                <w:color w:val="000000" w:themeColor="text1"/>
                <w:sz w:val="15"/>
                <w:szCs w:val="15"/>
              </w:rPr>
              <w:t>2802849.0</w:t>
            </w:r>
            <w:r>
              <w:rPr>
                <w:rFonts w:hint="eastAsia"/>
                <w:color w:val="000000" w:themeColor="text1"/>
                <w:sz w:val="15"/>
                <w:szCs w:val="15"/>
                <w:lang w:val="en-US" w:eastAsia="zh-CN"/>
              </w:rPr>
              <w:t>2</w:t>
            </w:r>
            <w:r>
              <w:rPr>
                <w:rFonts w:hint="eastAsia"/>
                <w:color w:val="000000" w:themeColor="text1"/>
                <w:sz w:val="15"/>
                <w:szCs w:val="15"/>
              </w:rPr>
              <w:t>，546205.88</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农村河段</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湖南省河湖管理范围划定技术导则3.2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Theme="minorEastAsia" w:hAnsiTheme="minorEastAsia" w:cstheme="minorEastAsia"/>
                <w:iCs/>
                <w:color w:val="000000" w:themeColor="text1"/>
                <w:sz w:val="16"/>
              </w:rPr>
              <w:t>无堤防河段的管理范围根据设计洪水位来划定</w:t>
            </w:r>
          </w:p>
        </w:tc>
      </w:tr>
      <w:tr>
        <w:tblPrEx>
          <w:tblCellMar>
            <w:top w:w="0" w:type="dxa"/>
            <w:left w:w="108" w:type="dxa"/>
            <w:bottom w:w="0" w:type="dxa"/>
            <w:right w:w="108" w:type="dxa"/>
          </w:tblCellMar>
        </w:tblPrEx>
        <w:trPr>
          <w:trHeight w:val="1082" w:hRule="atLeast"/>
        </w:trPr>
        <w:tc>
          <w:tcPr>
            <w:tcW w:w="415" w:type="dxa"/>
            <w:vMerge w:val="restart"/>
            <w:tcBorders>
              <w:top w:val="single" w:color="000000" w:sz="4" w:space="0"/>
              <w:left w:val="single" w:color="000000" w:sz="4" w:space="0"/>
              <w:right w:val="single" w:color="000000" w:sz="4" w:space="0"/>
            </w:tcBorders>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右岸</w:t>
            </w: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无堤防</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ascii="宋体" w:hAnsi="宋体" w:eastAsia="宋体" w:cs="宋体"/>
                <w:color w:val="000000"/>
                <w:kern w:val="0"/>
                <w:sz w:val="16"/>
                <w:szCs w:val="16"/>
              </w:rPr>
            </w:pPr>
            <w:r>
              <w:rPr>
                <w:rFonts w:hint="eastAsia"/>
                <w:sz w:val="15"/>
                <w:szCs w:val="15"/>
              </w:rPr>
              <w:t>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ascii="宋体" w:hAnsi="宋体" w:eastAsia="宋体" w:cs="宋体"/>
                <w:color w:val="000000"/>
                <w:kern w:val="0"/>
                <w:sz w:val="16"/>
                <w:szCs w:val="16"/>
              </w:rPr>
            </w:pPr>
            <w:r>
              <w:rPr>
                <w:rFonts w:hint="eastAsia"/>
                <w:color w:val="000000" w:themeColor="text1"/>
                <w:sz w:val="15"/>
                <w:szCs w:val="15"/>
              </w:rPr>
              <w:t>2809144.60，550168.37</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ascii="宋体" w:hAnsi="宋体" w:eastAsia="宋体" w:cs="宋体"/>
                <w:color w:val="000000"/>
                <w:kern w:val="0"/>
                <w:sz w:val="16"/>
                <w:szCs w:val="16"/>
              </w:rPr>
            </w:pPr>
            <w:r>
              <w:rPr>
                <w:rFonts w:hint="eastAsia"/>
                <w:sz w:val="15"/>
                <w:szCs w:val="15"/>
              </w:rPr>
              <w:t>5.</w:t>
            </w:r>
            <w:r>
              <w:rPr>
                <w:rFonts w:hint="eastAsia"/>
                <w:sz w:val="15"/>
                <w:szCs w:val="15"/>
                <w:lang w:val="en-US" w:eastAsia="zh-CN"/>
              </w:rPr>
              <w:t>4</w:t>
            </w:r>
            <w:r>
              <w:rPr>
                <w:rFonts w:hint="eastAsia"/>
                <w:sz w:val="15"/>
                <w:szCs w:val="15"/>
              </w:rPr>
              <w:t>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ascii="宋体" w:hAnsi="宋体" w:eastAsia="宋体" w:cs="宋体"/>
                <w:color w:val="000000"/>
                <w:kern w:val="0"/>
                <w:sz w:val="16"/>
                <w:szCs w:val="16"/>
              </w:rPr>
            </w:pPr>
            <w:r>
              <w:rPr>
                <w:rFonts w:hint="eastAsia"/>
                <w:color w:val="000000" w:themeColor="text1"/>
                <w:sz w:val="15"/>
                <w:szCs w:val="15"/>
                <w:lang w:val="en-US" w:eastAsia="zh-CN"/>
              </w:rPr>
              <w:t>2805323.63,547032.96</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农村河段</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湖南省河湖管理范围划定技术导则3.2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Theme="minorEastAsia" w:hAnsiTheme="minorEastAsia" w:cstheme="minorEastAsia"/>
                <w:iCs/>
                <w:color w:val="000000" w:themeColor="text1"/>
                <w:sz w:val="16"/>
              </w:rPr>
              <w:t>无堤防河段的管理范围根据设计洪水位来划定</w:t>
            </w:r>
          </w:p>
        </w:tc>
      </w:tr>
      <w:tr>
        <w:tblPrEx>
          <w:tblCellMar>
            <w:top w:w="0" w:type="dxa"/>
            <w:left w:w="108" w:type="dxa"/>
            <w:bottom w:w="0" w:type="dxa"/>
            <w:right w:w="108" w:type="dxa"/>
          </w:tblCellMar>
        </w:tblPrEx>
        <w:trPr>
          <w:trHeight w:val="1082" w:hRule="atLeast"/>
        </w:trPr>
        <w:tc>
          <w:tcPr>
            <w:tcW w:w="415" w:type="dxa"/>
            <w:vMerge w:val="continue"/>
            <w:tcBorders>
              <w:left w:val="single" w:color="000000" w:sz="4" w:space="0"/>
              <w:right w:val="single" w:color="000000" w:sz="4" w:space="0"/>
            </w:tcBorders>
            <w:vAlign w:val="center"/>
          </w:tcPr>
          <w:p>
            <w:pPr>
              <w:widowControl/>
              <w:jc w:val="left"/>
              <w:rPr>
                <w:rFonts w:hint="eastAsia" w:ascii="宋体" w:hAnsi="宋体" w:eastAsia="宋体" w:cs="宋体"/>
                <w:color w:val="000000"/>
                <w:kern w:val="0"/>
                <w:sz w:val="22"/>
              </w:rPr>
            </w:pP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16"/>
                <w:szCs w:val="16"/>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hint="eastAsia" w:ascii="宋体" w:hAnsi="宋体" w:eastAsia="宋体" w:cs="宋体"/>
                <w:sz w:val="16"/>
                <w:szCs w:val="16"/>
              </w:rPr>
            </w:pPr>
            <w:r>
              <w:rPr>
                <w:rFonts w:hint="eastAsia"/>
                <w:sz w:val="15"/>
                <w:szCs w:val="15"/>
              </w:rPr>
              <w:t>5.</w:t>
            </w:r>
            <w:r>
              <w:rPr>
                <w:rFonts w:hint="eastAsia"/>
                <w:sz w:val="15"/>
                <w:szCs w:val="15"/>
                <w:lang w:val="en-US" w:eastAsia="zh-CN"/>
              </w:rPr>
              <w:t>4</w:t>
            </w:r>
            <w:r>
              <w:rPr>
                <w:rFonts w:hint="eastAsia"/>
                <w:sz w:val="15"/>
                <w:szCs w:val="15"/>
              </w:rPr>
              <w:t>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hint="eastAsia" w:ascii="宋体" w:hAnsi="宋体" w:eastAsia="宋体" w:cs="宋体"/>
                <w:sz w:val="16"/>
                <w:szCs w:val="16"/>
              </w:rPr>
            </w:pPr>
            <w:r>
              <w:rPr>
                <w:rFonts w:hint="eastAsia"/>
                <w:color w:val="000000" w:themeColor="text1"/>
                <w:sz w:val="15"/>
                <w:szCs w:val="15"/>
                <w:lang w:val="en-US" w:eastAsia="zh-CN"/>
              </w:rPr>
              <w:t>2805323.63,547032.96</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hint="eastAsia" w:ascii="宋体" w:hAnsi="宋体" w:eastAsia="宋体" w:cs="宋体"/>
                <w:sz w:val="16"/>
                <w:szCs w:val="16"/>
              </w:rPr>
            </w:pPr>
            <w:r>
              <w:rPr>
                <w:rFonts w:hint="eastAsia"/>
                <w:sz w:val="15"/>
                <w:szCs w:val="15"/>
                <w:lang w:val="en-US" w:eastAsia="zh-CN"/>
              </w:rPr>
              <w:t>6.72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hint="eastAsia" w:ascii="宋体" w:hAnsi="宋体" w:eastAsia="宋体" w:cs="宋体"/>
                <w:sz w:val="16"/>
                <w:szCs w:val="16"/>
              </w:rPr>
            </w:pPr>
            <w:r>
              <w:rPr>
                <w:rFonts w:hint="eastAsia"/>
                <w:color w:val="000000" w:themeColor="text1"/>
                <w:sz w:val="15"/>
                <w:szCs w:val="15"/>
                <w:lang w:val="en-US" w:eastAsia="zh-CN"/>
              </w:rPr>
              <w:t>2804023.49,546802.14</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农村河段</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16"/>
                <w:szCs w:val="16"/>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Theme="minorEastAsia" w:hAnsiTheme="minorEastAsia" w:cstheme="minorEastAsia"/>
                <w:iCs/>
                <w:color w:val="000000" w:themeColor="text1"/>
                <w:sz w:val="16"/>
              </w:rPr>
            </w:pPr>
            <w:r>
              <w:rPr>
                <w:rFonts w:hint="eastAsia"/>
                <w:sz w:val="21"/>
                <w:szCs w:val="21"/>
                <w:lang w:val="en-US" w:eastAsia="zh-CN"/>
              </w:rPr>
              <w:t>该河段为江永管理范围</w:t>
            </w:r>
          </w:p>
        </w:tc>
      </w:tr>
      <w:tr>
        <w:tblPrEx>
          <w:tblCellMar>
            <w:top w:w="0" w:type="dxa"/>
            <w:left w:w="108" w:type="dxa"/>
            <w:bottom w:w="0" w:type="dxa"/>
            <w:right w:w="108" w:type="dxa"/>
          </w:tblCellMar>
        </w:tblPrEx>
        <w:trPr>
          <w:trHeight w:val="660" w:hRule="atLeast"/>
        </w:trPr>
        <w:tc>
          <w:tcPr>
            <w:tcW w:w="415"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无堤防</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ascii="宋体" w:hAnsi="宋体" w:eastAsia="宋体" w:cs="宋体"/>
                <w:color w:val="000000"/>
                <w:kern w:val="0"/>
                <w:sz w:val="16"/>
                <w:szCs w:val="16"/>
              </w:rPr>
            </w:pPr>
            <w:r>
              <w:rPr>
                <w:rFonts w:hint="eastAsia"/>
                <w:sz w:val="15"/>
                <w:szCs w:val="15"/>
                <w:lang w:val="en-US" w:eastAsia="zh-CN"/>
              </w:rPr>
              <w:t>6.72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ascii="宋体" w:hAnsi="宋体" w:eastAsia="宋体" w:cs="宋体"/>
                <w:color w:val="000000"/>
                <w:kern w:val="0"/>
                <w:sz w:val="16"/>
                <w:szCs w:val="16"/>
              </w:rPr>
            </w:pPr>
            <w:r>
              <w:rPr>
                <w:rFonts w:hint="eastAsia"/>
                <w:color w:val="000000" w:themeColor="text1"/>
                <w:sz w:val="15"/>
                <w:szCs w:val="15"/>
                <w:lang w:val="en-US" w:eastAsia="zh-CN"/>
              </w:rPr>
              <w:t>2804023.49,546802.14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ascii="宋体" w:hAnsi="宋体" w:eastAsia="宋体" w:cs="宋体"/>
                <w:color w:val="000000"/>
                <w:kern w:val="0"/>
                <w:sz w:val="16"/>
                <w:szCs w:val="16"/>
              </w:rPr>
            </w:pPr>
            <w:r>
              <w:rPr>
                <w:rFonts w:hint="eastAsia"/>
                <w:sz w:val="15"/>
                <w:szCs w:val="15"/>
                <w:lang w:val="en-US" w:eastAsia="zh-CN"/>
              </w:rPr>
              <w:t>10.76</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1"/>
              <w:ind w:firstLine="0" w:firstLineChars="0"/>
              <w:jc w:val="center"/>
              <w:rPr>
                <w:rFonts w:ascii="宋体" w:hAnsi="宋体" w:eastAsia="宋体" w:cs="宋体"/>
                <w:color w:val="000000"/>
                <w:kern w:val="0"/>
                <w:sz w:val="16"/>
                <w:szCs w:val="16"/>
              </w:rPr>
            </w:pPr>
            <w:r>
              <w:rPr>
                <w:rFonts w:hint="eastAsia"/>
                <w:color w:val="000000" w:themeColor="text1"/>
                <w:sz w:val="15"/>
                <w:szCs w:val="15"/>
              </w:rPr>
              <w:t>2800553.9</w:t>
            </w:r>
            <w:r>
              <w:rPr>
                <w:rFonts w:hint="eastAsia"/>
                <w:color w:val="000000" w:themeColor="text1"/>
                <w:sz w:val="15"/>
                <w:szCs w:val="15"/>
                <w:lang w:val="en-US" w:eastAsia="zh-CN"/>
              </w:rPr>
              <w:t>6</w:t>
            </w:r>
            <w:r>
              <w:rPr>
                <w:rFonts w:hint="eastAsia"/>
                <w:color w:val="000000" w:themeColor="text1"/>
                <w:sz w:val="15"/>
                <w:szCs w:val="15"/>
              </w:rPr>
              <w:t>，546322.41</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农村河段</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湖南省河湖管理范围划定技术导则3.2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Theme="minorEastAsia" w:hAnsiTheme="minorEastAsia" w:cstheme="minorEastAsia"/>
                <w:iCs/>
                <w:color w:val="000000" w:themeColor="text1"/>
                <w:sz w:val="16"/>
              </w:rPr>
              <w:t>无堤防河段的管理范围根据设计洪水位来划定</w:t>
            </w:r>
          </w:p>
        </w:tc>
      </w:tr>
    </w:tbl>
    <w:p>
      <w:pPr>
        <w:pStyle w:val="3"/>
        <w:ind w:left="0" w:firstLine="0"/>
      </w:pPr>
      <w:bookmarkStart w:id="77" w:name="_Toc5275"/>
      <w:bookmarkStart w:id="78" w:name="_Toc15228291"/>
      <w:r>
        <w:rPr>
          <w:rFonts w:hint="eastAsia"/>
        </w:rPr>
        <w:t>其他相关情况说明</w:t>
      </w:r>
      <w:bookmarkEnd w:id="77"/>
      <w:bookmarkEnd w:id="78"/>
    </w:p>
    <w:p>
      <w:pPr>
        <w:pStyle w:val="4"/>
        <w:ind w:left="0" w:firstLine="0"/>
      </w:pPr>
      <w:bookmarkStart w:id="79" w:name="_Toc16521"/>
      <w:r>
        <w:rPr>
          <w:rFonts w:hint="eastAsia"/>
        </w:rPr>
        <w:t>划界数学基础标准</w:t>
      </w:r>
      <w:bookmarkEnd w:id="79"/>
    </w:p>
    <w:p>
      <w:pPr>
        <w:pStyle w:val="41"/>
        <w:ind w:firstLine="560"/>
        <w:rPr>
          <w:rFonts w:ascii="宋体" w:hAnsi="宋体" w:eastAsia="宋体" w:cs="Times New Roman"/>
        </w:rPr>
      </w:pPr>
      <w:r>
        <w:rPr>
          <w:rFonts w:hint="eastAsia" w:ascii="宋体" w:hAnsi="宋体" w:eastAsia="宋体" w:cs="Times New Roman"/>
        </w:rPr>
        <w:t>坐标系统：2000国家大地坐标系，高斯投影，标准3度分带；</w:t>
      </w:r>
    </w:p>
    <w:p>
      <w:pPr>
        <w:pStyle w:val="41"/>
        <w:ind w:firstLine="560"/>
      </w:pPr>
      <w:r>
        <w:rPr>
          <w:rFonts w:hint="eastAsia" w:ascii="宋体" w:hAnsi="宋体" w:eastAsia="宋体" w:cs="Times New Roman"/>
        </w:rPr>
        <w:t>高程基准：1985国家高程基</w:t>
      </w:r>
      <w:r>
        <w:rPr>
          <w:rFonts w:hint="eastAsia"/>
        </w:rPr>
        <w:t>准；</w:t>
      </w:r>
    </w:p>
    <w:p>
      <w:pPr>
        <w:pStyle w:val="4"/>
        <w:ind w:left="0" w:firstLine="0"/>
      </w:pPr>
      <w:bookmarkStart w:id="80" w:name="_Toc17626"/>
      <w:r>
        <w:rPr>
          <w:rFonts w:hint="eastAsia"/>
        </w:rPr>
        <w:t>划界连线方式</w:t>
      </w:r>
      <w:bookmarkEnd w:id="80"/>
    </w:p>
    <w:p>
      <w:pPr>
        <w:pStyle w:val="41"/>
        <w:ind w:firstLine="560"/>
      </w:pPr>
      <w:r>
        <w:rPr>
          <w:rFonts w:hint="eastAsia"/>
        </w:rPr>
        <w:t>划界连线时，特别是标准不同的划界连线，管理范围线一般采用垂直方式相连，不同类别的岸线应用不同颜色表示。若条件特殊的，应予以具体说明。</w:t>
      </w:r>
    </w:p>
    <w:p>
      <w:pPr>
        <w:pStyle w:val="4"/>
        <w:ind w:left="0" w:firstLine="0"/>
      </w:pPr>
      <w:bookmarkStart w:id="81" w:name="_Toc32712"/>
      <w:r>
        <w:rPr>
          <w:rFonts w:hint="eastAsia"/>
        </w:rPr>
        <w:t>河湖划界数据存储格式</w:t>
      </w:r>
      <w:bookmarkEnd w:id="81"/>
    </w:p>
    <w:p>
      <w:pPr>
        <w:pStyle w:val="41"/>
        <w:ind w:firstLine="560"/>
        <w:rPr>
          <w:rFonts w:ascii="宋体" w:hAnsi="宋体" w:eastAsia="宋体" w:cs="Times New Roman"/>
        </w:rPr>
      </w:pPr>
      <w:r>
        <w:rPr>
          <w:rFonts w:ascii="宋体" w:hAnsi="宋体" w:eastAsia="宋体" w:cs="Times New Roman"/>
        </w:rPr>
        <w:t>矢量数据：采用ArcGIS 10.1 File Geodatabase版格式，包含两个数据集，一个是工作底图数据集，命名为BaseMap，一个是划界成果数据集，命名为 RangeResults。</w:t>
      </w:r>
    </w:p>
    <w:p>
      <w:pPr>
        <w:pStyle w:val="41"/>
        <w:ind w:firstLine="560"/>
      </w:pPr>
      <w:r>
        <w:rPr>
          <w:rFonts w:ascii="宋体" w:hAnsi="宋体" w:eastAsia="宋体" w:cs="Times New Roman"/>
        </w:rPr>
        <w:t>影像数据：采用非压缩 GEOTIFF 格式</w:t>
      </w:r>
      <w:r>
        <w:rPr>
          <w:rFonts w:hint="eastAsia"/>
        </w:rPr>
        <w:t>。</w:t>
      </w:r>
    </w:p>
    <w:p>
      <w:pPr>
        <w:pStyle w:val="4"/>
        <w:ind w:left="0" w:firstLine="0"/>
      </w:pPr>
      <w:bookmarkStart w:id="82" w:name="_Toc5834"/>
      <w:r>
        <w:rPr>
          <w:rFonts w:hint="eastAsia"/>
        </w:rPr>
        <w:t>管理范围界桩编号</w:t>
      </w:r>
      <w:bookmarkEnd w:id="82"/>
    </w:p>
    <w:p>
      <w:pPr>
        <w:pStyle w:val="41"/>
        <w:ind w:firstLine="560"/>
        <w:rPr>
          <w:rFonts w:ascii="宋体" w:hAnsi="宋体" w:eastAsia="宋体" w:cs="Times New Roman"/>
        </w:rPr>
      </w:pPr>
      <w:r>
        <w:rPr>
          <w:rFonts w:hint="eastAsia" w:ascii="宋体" w:hAnsi="宋体" w:eastAsia="宋体" w:cs="Times New Roman"/>
        </w:rPr>
        <w:t>界桩编号起始点选择河道源头或县级行政界线与河道交叉处，桩（牌）布设顺序原则上按河道行洪、排涝方向自下往上，面向下游分左、右编号，特殊河段也可自上而下编号。对于孤立于县级行政区域内的河段，先按照界桩布设规则对未划界河段界桩数量进行估算，然后根据估算结果进行编号。</w:t>
      </w:r>
    </w:p>
    <w:p>
      <w:pPr>
        <w:pStyle w:val="41"/>
        <w:ind w:firstLine="560"/>
        <w:rPr>
          <w:rFonts w:ascii="宋体" w:hAnsi="宋体" w:eastAsia="宋体" w:cs="Times New Roman"/>
        </w:rPr>
      </w:pPr>
      <w:r>
        <w:rPr>
          <w:rFonts w:hint="eastAsia" w:ascii="宋体" w:hAnsi="宋体" w:eastAsia="宋体" w:cs="Times New Roman"/>
        </w:rPr>
        <w:t>编码规则为“河流编码</w:t>
      </w:r>
      <w:r>
        <w:rPr>
          <w:rFonts w:ascii="宋体" w:hAnsi="宋体" w:eastAsia="宋体" w:cs="Times New Roman"/>
        </w:rPr>
        <w:t>-</w:t>
      </w:r>
      <w:r>
        <w:rPr>
          <w:rFonts w:hint="eastAsia" w:ascii="宋体" w:hAnsi="宋体" w:eastAsia="宋体" w:cs="Times New Roman"/>
        </w:rPr>
        <w:t>县级行政区划代码</w:t>
      </w:r>
      <w:r>
        <w:rPr>
          <w:rFonts w:ascii="宋体" w:hAnsi="宋体" w:eastAsia="宋体" w:cs="Times New Roman"/>
        </w:rPr>
        <w:t>-</w:t>
      </w:r>
      <w:r>
        <w:rPr>
          <w:rFonts w:hint="eastAsia" w:ascii="宋体" w:hAnsi="宋体" w:eastAsia="宋体" w:cs="Times New Roman"/>
        </w:rPr>
        <w:t>岸别</w:t>
      </w:r>
      <w:r>
        <w:rPr>
          <w:rFonts w:ascii="宋体" w:hAnsi="宋体" w:eastAsia="宋体" w:cs="Times New Roman"/>
        </w:rPr>
        <w:t>-</w:t>
      </w:r>
      <w:r>
        <w:rPr>
          <w:rFonts w:hint="eastAsia" w:ascii="宋体" w:hAnsi="宋体" w:eastAsia="宋体" w:cs="Times New Roman"/>
        </w:rPr>
        <w:t>共桩标识码</w:t>
      </w:r>
      <w:r>
        <w:rPr>
          <w:rFonts w:ascii="宋体" w:hAnsi="宋体" w:eastAsia="宋体" w:cs="Times New Roman"/>
        </w:rPr>
        <w:t>-</w:t>
      </w:r>
      <w:r>
        <w:rPr>
          <w:rFonts w:hint="eastAsia" w:ascii="宋体" w:hAnsi="宋体" w:eastAsia="宋体" w:cs="Times New Roman"/>
        </w:rPr>
        <w:t>界桩号”，其中岸别编码“</w:t>
      </w:r>
      <w:r>
        <w:rPr>
          <w:rFonts w:ascii="宋体" w:hAnsi="宋体" w:eastAsia="宋体" w:cs="Times New Roman"/>
        </w:rPr>
        <w:t>L</w:t>
      </w:r>
      <w:r>
        <w:rPr>
          <w:rFonts w:hint="eastAsia" w:ascii="宋体" w:hAnsi="宋体" w:eastAsia="宋体" w:cs="Times New Roman"/>
        </w:rPr>
        <w:t>”代表左岸，“</w:t>
      </w:r>
      <w:r>
        <w:rPr>
          <w:rFonts w:ascii="宋体" w:hAnsi="宋体" w:eastAsia="宋体" w:cs="Times New Roman"/>
        </w:rPr>
        <w:t>R</w:t>
      </w:r>
      <w:r>
        <w:rPr>
          <w:rFonts w:hint="eastAsia" w:ascii="宋体" w:hAnsi="宋体" w:eastAsia="宋体" w:cs="Times New Roman"/>
        </w:rPr>
        <w:t>”代表右岸，“</w:t>
      </w:r>
      <w:r>
        <w:rPr>
          <w:rFonts w:ascii="宋体" w:hAnsi="宋体" w:eastAsia="宋体" w:cs="Times New Roman"/>
        </w:rPr>
        <w:t>S</w:t>
      </w:r>
      <w:r>
        <w:rPr>
          <w:rFonts w:hint="eastAsia" w:ascii="宋体" w:hAnsi="宋体" w:eastAsia="宋体" w:cs="Times New Roman"/>
        </w:rPr>
        <w:t>”代表缺省值，不区分左右岸；</w:t>
      </w:r>
      <w:r>
        <w:rPr>
          <w:rFonts w:ascii="宋体" w:hAnsi="宋体" w:eastAsia="宋体" w:cs="Times New Roman"/>
        </w:rPr>
        <w:t>0</w:t>
      </w:r>
      <w:r>
        <w:rPr>
          <w:rFonts w:hint="eastAsia" w:ascii="宋体" w:hAnsi="宋体" w:eastAsia="宋体" w:cs="Times New Roman"/>
        </w:rPr>
        <w:t>代表非共桩，</w:t>
      </w:r>
      <w:r>
        <w:rPr>
          <w:rFonts w:ascii="宋体" w:hAnsi="宋体" w:eastAsia="宋体" w:cs="Times New Roman"/>
        </w:rPr>
        <w:t>1</w:t>
      </w:r>
      <w:r>
        <w:rPr>
          <w:rFonts w:hint="eastAsia" w:ascii="宋体" w:hAnsi="宋体" w:eastAsia="宋体" w:cs="Times New Roman"/>
        </w:rPr>
        <w:t>代表干河</w:t>
      </w:r>
      <w:r>
        <w:rPr>
          <w:rFonts w:ascii="宋体" w:hAnsi="宋体" w:eastAsia="宋体" w:cs="Times New Roman"/>
        </w:rPr>
        <w:t>(</w:t>
      </w:r>
      <w:r>
        <w:rPr>
          <w:rFonts w:hint="eastAsia" w:ascii="宋体" w:hAnsi="宋体" w:eastAsia="宋体" w:cs="Times New Roman"/>
        </w:rPr>
        <w:t>湖泊、水库）与支河</w:t>
      </w:r>
      <w:r>
        <w:rPr>
          <w:rFonts w:ascii="宋体" w:hAnsi="宋体" w:eastAsia="宋体" w:cs="Times New Roman"/>
        </w:rPr>
        <w:t>(</w:t>
      </w:r>
      <w:r>
        <w:rPr>
          <w:rFonts w:hint="eastAsia" w:ascii="宋体" w:hAnsi="宋体" w:eastAsia="宋体" w:cs="Times New Roman"/>
        </w:rPr>
        <w:t>出入湖河道、溢洪道</w:t>
      </w:r>
      <w:r>
        <w:rPr>
          <w:rFonts w:ascii="宋体" w:hAnsi="宋体" w:eastAsia="宋体" w:cs="Times New Roman"/>
        </w:rPr>
        <w:t>)</w:t>
      </w:r>
      <w:r>
        <w:rPr>
          <w:rFonts w:hint="eastAsia" w:ascii="宋体" w:hAnsi="宋体" w:eastAsia="宋体" w:cs="Times New Roman"/>
        </w:rPr>
        <w:t>管理范围共桩，</w:t>
      </w:r>
      <w:r>
        <w:rPr>
          <w:rFonts w:ascii="宋体" w:hAnsi="宋体" w:eastAsia="宋体" w:cs="Times New Roman"/>
        </w:rPr>
        <w:t>2</w:t>
      </w:r>
      <w:r>
        <w:rPr>
          <w:rFonts w:hint="eastAsia" w:ascii="宋体" w:hAnsi="宋体" w:eastAsia="宋体" w:cs="Times New Roman"/>
        </w:rPr>
        <w:t>代表主次河平行</w:t>
      </w:r>
      <w:r>
        <w:rPr>
          <w:rFonts w:ascii="宋体" w:hAnsi="宋体" w:eastAsia="宋体" w:cs="Times New Roman"/>
        </w:rPr>
        <w:t>(</w:t>
      </w:r>
      <w:r>
        <w:rPr>
          <w:rFonts w:hint="eastAsia" w:ascii="宋体" w:hAnsi="宋体" w:eastAsia="宋体" w:cs="Times New Roman"/>
        </w:rPr>
        <w:t>两河三堤）管理范围共桩，</w:t>
      </w:r>
      <w:r>
        <w:rPr>
          <w:rFonts w:ascii="宋体" w:hAnsi="宋体" w:eastAsia="宋体" w:cs="Times New Roman"/>
        </w:rPr>
        <w:t>3</w:t>
      </w:r>
      <w:r>
        <w:rPr>
          <w:rFonts w:hint="eastAsia" w:ascii="宋体" w:hAnsi="宋体" w:eastAsia="宋体" w:cs="Times New Roman"/>
        </w:rPr>
        <w:t>代表河道（湖泊</w:t>
      </w:r>
      <w:r>
        <w:rPr>
          <w:rFonts w:ascii="宋体" w:hAnsi="宋体" w:eastAsia="宋体" w:cs="Times New Roman"/>
        </w:rPr>
        <w:t>)</w:t>
      </w:r>
      <w:r>
        <w:rPr>
          <w:rFonts w:hint="eastAsia" w:ascii="宋体" w:hAnsi="宋体" w:eastAsia="宋体" w:cs="Times New Roman"/>
        </w:rPr>
        <w:t>与拦河大坝等水利工程管理范围共桩，</w:t>
      </w:r>
      <w:r>
        <w:rPr>
          <w:rFonts w:ascii="宋体" w:hAnsi="宋体" w:eastAsia="宋体" w:cs="Times New Roman"/>
        </w:rPr>
        <w:t>4</w:t>
      </w:r>
      <w:r>
        <w:rPr>
          <w:rFonts w:hint="eastAsia" w:ascii="宋体" w:hAnsi="宋体" w:eastAsia="宋体" w:cs="Times New Roman"/>
        </w:rPr>
        <w:t>代表跨县河道（湖泊〉管理范围共桩。如</w:t>
      </w:r>
      <w:r>
        <w:rPr>
          <w:rFonts w:hint="eastAsia" w:ascii="宋体" w:hAnsi="宋体" w:eastAsia="宋体" w:cs="Times New Roman"/>
          <w:lang w:eastAsia="zh-CN"/>
        </w:rPr>
        <w:t>FE1D1DEA000L</w:t>
      </w:r>
      <w:r>
        <w:rPr>
          <w:rFonts w:ascii="宋体" w:hAnsi="宋体" w:eastAsia="宋体" w:cs="Times New Roman"/>
        </w:rPr>
        <w:t>-43</w:t>
      </w:r>
      <w:r>
        <w:rPr>
          <w:rFonts w:hint="eastAsia" w:ascii="宋体" w:hAnsi="宋体" w:eastAsia="宋体" w:cs="Times New Roman"/>
        </w:rPr>
        <w:t>1124</w:t>
      </w:r>
      <w:r>
        <w:rPr>
          <w:rFonts w:ascii="宋体" w:hAnsi="宋体" w:eastAsia="宋体" w:cs="Times New Roman"/>
        </w:rPr>
        <w:t>-L0003</w:t>
      </w:r>
      <w:r>
        <w:rPr>
          <w:rFonts w:hint="eastAsia" w:ascii="宋体" w:hAnsi="宋体" w:eastAsia="宋体" w:cs="Times New Roman"/>
        </w:rPr>
        <w:t>表示，白湖村河道县河段左岸第三根非公用界桩。共桩要在各自划界单元中分别编码。当水闸、拦河大坝与河道管理范围一并划定时，可以不用公共界桩区分。</w:t>
      </w:r>
    </w:p>
    <w:p>
      <w:pPr>
        <w:pStyle w:val="41"/>
        <w:ind w:firstLine="560"/>
        <w:rPr>
          <w:rFonts w:ascii="宋体" w:hAnsi="宋体" w:eastAsia="宋体" w:cs="Times New Roman"/>
        </w:rPr>
      </w:pPr>
      <w:r>
        <w:rPr>
          <w:rFonts w:hint="eastAsia" w:ascii="宋体" w:hAnsi="宋体" w:eastAsia="宋体" w:cs="Times New Roman"/>
        </w:rPr>
        <w:t>两条河道</w:t>
      </w:r>
      <w:r>
        <w:rPr>
          <w:rFonts w:ascii="宋体" w:hAnsi="宋体" w:eastAsia="宋体" w:cs="Times New Roman"/>
        </w:rPr>
        <w:t>(</w:t>
      </w:r>
      <w:r>
        <w:rPr>
          <w:rFonts w:hint="eastAsia" w:ascii="宋体" w:hAnsi="宋体" w:eastAsia="宋体" w:cs="Times New Roman"/>
        </w:rPr>
        <w:t>湖泊</w:t>
      </w:r>
      <w:r>
        <w:rPr>
          <w:rFonts w:ascii="宋体" w:hAnsi="宋体" w:eastAsia="宋体" w:cs="Times New Roman"/>
        </w:rPr>
        <w:t>)</w:t>
      </w:r>
      <w:r>
        <w:rPr>
          <w:rFonts w:hint="eastAsia" w:ascii="宋体" w:hAnsi="宋体" w:eastAsia="宋体" w:cs="Times New Roman"/>
        </w:rPr>
        <w:t>界线交叉点及公共边界界桩编号以级别高低、平级河道以先勘定的河道（湖泊</w:t>
      </w:r>
      <w:r>
        <w:rPr>
          <w:rFonts w:ascii="宋体" w:hAnsi="宋体" w:eastAsia="宋体" w:cs="Times New Roman"/>
        </w:rPr>
        <w:t>)</w:t>
      </w:r>
      <w:r>
        <w:rPr>
          <w:rFonts w:hint="eastAsia" w:ascii="宋体" w:hAnsi="宋体" w:eastAsia="宋体" w:cs="Times New Roman"/>
        </w:rPr>
        <w:t>界线为准设立界桩。</w:t>
      </w:r>
    </w:p>
    <w:p>
      <w:pPr>
        <w:pStyle w:val="41"/>
        <w:ind w:firstLine="560"/>
      </w:pPr>
      <w:r>
        <w:rPr>
          <w:rFonts w:hint="eastAsia" w:ascii="宋体" w:hAnsi="宋体" w:eastAsia="宋体" w:cs="Times New Roman"/>
        </w:rPr>
        <w:t>若在已立界桩之间需要加埋界桩时，其界桩编号在上一个原有界桩号后加“-”再加数字序号，保证同一河道（湖泊）界桩编号不重号。</w:t>
      </w:r>
    </w:p>
    <w:p>
      <w:pPr>
        <w:pStyle w:val="4"/>
        <w:ind w:left="0" w:firstLine="0"/>
      </w:pPr>
      <w:bookmarkStart w:id="83" w:name="_Toc23567"/>
      <w:r>
        <w:rPr>
          <w:rFonts w:hint="eastAsia"/>
        </w:rPr>
        <w:t>管理范围告示牌编号</w:t>
      </w:r>
      <w:bookmarkEnd w:id="83"/>
    </w:p>
    <w:p>
      <w:pPr>
        <w:pStyle w:val="41"/>
        <w:ind w:firstLine="560"/>
      </w:pPr>
      <w:r>
        <w:rPr>
          <w:rFonts w:hint="eastAsia" w:ascii="宋体" w:hAnsi="宋体" w:eastAsia="宋体" w:cs="Times New Roman"/>
        </w:rPr>
        <w:t>管理范围告示牌编号按照“河流编码一县级行政区划代码</w:t>
      </w:r>
      <w:r>
        <w:rPr>
          <w:rFonts w:ascii="宋体" w:hAnsi="宋体" w:eastAsia="宋体" w:cs="Times New Roman"/>
        </w:rPr>
        <w:t>-</w:t>
      </w:r>
      <w:r>
        <w:rPr>
          <w:rFonts w:hint="eastAsia" w:ascii="宋体" w:hAnsi="宋体" w:eastAsia="宋体" w:cs="Times New Roman"/>
        </w:rPr>
        <w:t>岸别顺序号”，如</w:t>
      </w:r>
      <w:r>
        <w:rPr>
          <w:rFonts w:hint="eastAsia" w:ascii="宋体" w:hAnsi="宋体" w:eastAsia="宋体" w:cs="Times New Roman"/>
          <w:lang w:eastAsia="zh-CN"/>
        </w:rPr>
        <w:t>FE1D1DEA000L</w:t>
      </w:r>
      <w:r>
        <w:rPr>
          <w:rFonts w:ascii="宋体" w:hAnsi="宋体" w:eastAsia="宋体" w:cs="Times New Roman"/>
        </w:rPr>
        <w:t>-43</w:t>
      </w:r>
      <w:r>
        <w:rPr>
          <w:rFonts w:hint="eastAsia" w:ascii="宋体" w:hAnsi="宋体" w:eastAsia="宋体" w:cs="Times New Roman"/>
        </w:rPr>
        <w:t>1124</w:t>
      </w:r>
      <w:r>
        <w:rPr>
          <w:rFonts w:ascii="宋体" w:hAnsi="宋体" w:eastAsia="宋体" w:cs="Times New Roman"/>
        </w:rPr>
        <w:t>-L00</w:t>
      </w:r>
      <w:r>
        <w:rPr>
          <w:rFonts w:hint="eastAsia" w:ascii="宋体" w:hAnsi="宋体" w:eastAsia="宋体" w:cs="Times New Roman"/>
        </w:rPr>
        <w:t>1表示，白湖村河道县河段左岸第一座告示牌</w:t>
      </w:r>
      <w:r>
        <w:rPr>
          <w:rFonts w:hint="eastAsia"/>
        </w:rPr>
        <w:t>。</w:t>
      </w:r>
    </w:p>
    <w:p>
      <w:pPr>
        <w:pStyle w:val="4"/>
        <w:ind w:left="0" w:firstLine="0"/>
      </w:pPr>
      <w:bookmarkStart w:id="84" w:name="_Toc2130"/>
      <w:r>
        <w:rPr>
          <w:rFonts w:hint="eastAsia"/>
        </w:rPr>
        <w:t>界桩、告示牌制作与埋设</w:t>
      </w:r>
      <w:bookmarkEnd w:id="84"/>
    </w:p>
    <w:p>
      <w:pPr>
        <w:pStyle w:val="5"/>
        <w:numPr>
          <w:ilvl w:val="2"/>
          <w:numId w:val="0"/>
        </w:numPr>
      </w:pPr>
      <w:bookmarkStart w:id="85" w:name="_Toc32386"/>
      <w:bookmarkStart w:id="86" w:name="_Toc17812"/>
      <w:r>
        <w:rPr>
          <w:rFonts w:hint="eastAsia"/>
        </w:rPr>
        <w:t>6.6.1界桩制作</w:t>
      </w:r>
      <w:bookmarkEnd w:id="85"/>
      <w:bookmarkEnd w:id="86"/>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按照统一的技术规格制作管理范围界桩（牌）的制作可以采取预制或者现场浇筑两种方式</w:t>
      </w:r>
      <w:r>
        <w:rPr>
          <w:rFonts w:hint="eastAsia" w:ascii="宋体" w:hAnsi="宋体" w:eastAsia="宋体"/>
          <w:sz w:val="24"/>
          <w:szCs w:val="24"/>
        </w:rPr>
        <w:t>。</w:t>
      </w:r>
    </w:p>
    <w:p>
      <w:pPr>
        <w:pStyle w:val="5"/>
        <w:numPr>
          <w:ilvl w:val="2"/>
          <w:numId w:val="0"/>
        </w:numPr>
      </w:pPr>
      <w:bookmarkStart w:id="87" w:name="_Toc7541"/>
      <w:bookmarkStart w:id="88" w:name="_Toc8766"/>
      <w:r>
        <w:rPr>
          <w:rFonts w:hint="eastAsia"/>
        </w:rPr>
        <w:t>6.6.2界桩埋设</w:t>
      </w:r>
      <w:bookmarkEnd w:id="87"/>
      <w:bookmarkEnd w:id="88"/>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划界方案经批准后，根据界桩设计图、界桩坐标、界桩点位略图，在实地确定界桩埋设位置，对于根据点位略图难以在实地确定界桩位置时，需釆用测量放样的方式确定界桩位置。界桩埋设时注意如下事项：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（1）界桩埋设时，界桩的正面要与河岸线尽量垂直；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（2）界桩埋设完毕后，要从不同角度拍摄2-3张实地照片，照片能清晰反映界桩埋设的周边环境及界桩的实际状况，并制作界桩点之记。</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（3）界桩埋设的实际位置应不影响目前人民群众的生产生活，当地人民群众对界桩位置有异议时，可以在满足管理范围划定要求的前提下，合理调整界桩的位置，界桩位置调整时尽量沿管理范围走向上调整。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（4）界桩公里数为河道中心线对应的河道长度。</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（5）界桩埋设后，水利管理部门可与有关行政村和单位签订“界桩保护协议书”，明确界桩保护职责。</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（6）原则上均釆用界桩，特殊困难地区方可使用界牌，但需在总结报告中说明原因。</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（7）暂未进行接边的公共界桩，只预划定界桩位置，不埋设界桩</w:t>
      </w:r>
      <w:r>
        <w:rPr>
          <w:rFonts w:hint="eastAsia" w:ascii="宋体" w:hAnsi="宋体" w:eastAsia="宋体"/>
          <w:sz w:val="24"/>
          <w:szCs w:val="24"/>
        </w:rPr>
        <w:t>。</w:t>
      </w:r>
    </w:p>
    <w:p>
      <w:pPr>
        <w:pStyle w:val="5"/>
        <w:numPr>
          <w:ilvl w:val="2"/>
          <w:numId w:val="0"/>
        </w:numPr>
      </w:pPr>
      <w:bookmarkStart w:id="89" w:name="_Toc1470"/>
      <w:bookmarkStart w:id="90" w:name="_Toc9413"/>
      <w:r>
        <w:rPr>
          <w:rFonts w:hint="eastAsia"/>
        </w:rPr>
        <w:t>6.6.3告示牌制作</w:t>
      </w:r>
      <w:bookmarkEnd w:id="89"/>
      <w:bookmarkEnd w:id="90"/>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按照统一的技术规格制作告示牌，告示牌的制作可以采取预制或者现场浇筑两种方式</w:t>
      </w:r>
      <w:r>
        <w:rPr>
          <w:rFonts w:hint="eastAsia" w:ascii="宋体" w:hAnsi="宋体" w:eastAsia="宋体"/>
          <w:sz w:val="24"/>
          <w:szCs w:val="24"/>
        </w:rPr>
        <w:t>。</w:t>
      </w:r>
    </w:p>
    <w:p>
      <w:pPr>
        <w:pStyle w:val="5"/>
        <w:numPr>
          <w:ilvl w:val="2"/>
          <w:numId w:val="0"/>
        </w:numPr>
      </w:pPr>
      <w:bookmarkStart w:id="91" w:name="_Toc26700"/>
      <w:bookmarkStart w:id="92" w:name="_Toc16249"/>
      <w:r>
        <w:rPr>
          <w:rFonts w:hint="eastAsia"/>
        </w:rPr>
        <w:t>6.6.4告示牌埋设</w:t>
      </w:r>
      <w:bookmarkEnd w:id="91"/>
      <w:bookmarkEnd w:id="92"/>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根据告示牌设计图、告示牌坐标在实地选择确定告示牌埋设位置。告示牌埋设时注意如下事项：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（1）告示牌应埋设在河道主要入口或醒目位置，告示牌的正面要朝向人民群众容易观察的方向；</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（2）界桩埋设完毕后，要从不同角度拍摄一组实地照片，照片能清晰反映界桩埋设的周边环境及界桩的实际状况，并制作点之记。</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（3）界桩埋设的实际位置应不影响目前人民群众的生产生活，不易被破坏，应合理调整告示牌的位置</w:t>
      </w:r>
      <w:r>
        <w:rPr>
          <w:rFonts w:hint="eastAsia" w:ascii="宋体" w:hAnsi="宋体" w:eastAsia="宋体"/>
          <w:sz w:val="24"/>
          <w:szCs w:val="24"/>
        </w:rPr>
        <w:t>。</w:t>
      </w:r>
    </w:p>
    <w:p>
      <w:pPr>
        <w:pStyle w:val="4"/>
        <w:ind w:left="0" w:firstLine="0"/>
      </w:pPr>
      <w:bookmarkStart w:id="93" w:name="_Toc16260"/>
      <w:bookmarkStart w:id="94" w:name="_Toc3541109"/>
      <w:r>
        <w:rPr>
          <w:rFonts w:hint="eastAsia"/>
        </w:rPr>
        <w:t>界桩和告示牌位置采集</w:t>
      </w:r>
      <w:bookmarkEnd w:id="93"/>
      <w:bookmarkEnd w:id="94"/>
    </w:p>
    <w:p>
      <w:pPr>
        <w:pStyle w:val="41"/>
        <w:ind w:firstLine="560"/>
        <w:sectPr>
          <w:footerReference r:id="rId4" w:type="default"/>
          <w:pgSz w:w="11906" w:h="16838"/>
          <w:pgMar w:top="1440" w:right="1800" w:bottom="1440" w:left="1800" w:header="851" w:footer="992" w:gutter="0"/>
          <w:pgNumType w:start="1"/>
          <w:cols w:space="425" w:num="1"/>
          <w:docGrid w:type="lines" w:linePitch="312" w:charSpace="0"/>
        </w:sectPr>
      </w:pPr>
      <w:r>
        <w:rPr>
          <w:rFonts w:hint="eastAsia" w:ascii="宋体" w:hAnsi="宋体" w:eastAsia="宋体" w:cs="Times New Roman"/>
        </w:rPr>
        <w:t>界桩和告示牌埋设完毕后，将界桩和告示牌的最终位置在图上标绘，对于在工作底图上难以定位的界桩和告示牌，基于HNCORS系统，釆用基于GPS-RTK技术实测界桩和告示牌的坐标；并在内业基于实地标绘和测量的成果对界桩布设图和管理范围线拐点进行修正，形成最终的界桩点分布图、告示牌分布图和管理范围线</w:t>
      </w:r>
      <w:r>
        <w:rPr>
          <w:rFonts w:hint="eastAsia"/>
        </w:rPr>
        <w:t>。</w:t>
      </w:r>
    </w:p>
    <w:p>
      <w:pPr>
        <w:pStyle w:val="3"/>
        <w:spacing w:before="120" w:after="120" w:line="360" w:lineRule="auto"/>
        <w:ind w:left="0" w:firstLine="0"/>
        <w:rPr>
          <w:sz w:val="28"/>
        </w:rPr>
      </w:pPr>
      <w:bookmarkStart w:id="95" w:name="_Toc2528"/>
      <w:r>
        <w:rPr>
          <w:rFonts w:hint="eastAsia"/>
        </w:rPr>
        <w:t>附件</w:t>
      </w:r>
      <w:bookmarkEnd w:id="95"/>
    </w:p>
    <w:p>
      <w:pPr>
        <w:jc w:val="left"/>
        <w:rPr>
          <w:b/>
          <w:sz w:val="28"/>
        </w:rPr>
      </w:pPr>
      <w:r>
        <w:rPr>
          <w:rFonts w:hint="eastAsia"/>
          <w:b/>
          <w:sz w:val="28"/>
        </w:rPr>
        <w:t>附表  白湖村河道县河段管理范围界桩成果表</w:t>
      </w:r>
    </w:p>
    <w:tbl>
      <w:tblPr>
        <w:tblStyle w:val="22"/>
        <w:tblW w:w="8370" w:type="dxa"/>
        <w:tblInd w:w="0" w:type="dxa"/>
        <w:tblLayout w:type="fixed"/>
        <w:tblCellMar>
          <w:top w:w="0" w:type="dxa"/>
          <w:left w:w="0" w:type="dxa"/>
          <w:bottom w:w="0" w:type="dxa"/>
          <w:right w:w="0" w:type="dxa"/>
        </w:tblCellMar>
      </w:tblPr>
      <w:tblGrid>
        <w:gridCol w:w="1080"/>
        <w:gridCol w:w="3300"/>
        <w:gridCol w:w="1529"/>
        <w:gridCol w:w="1381"/>
        <w:gridCol w:w="1080"/>
      </w:tblGrid>
      <w:tr>
        <w:tblPrEx>
          <w:tblCellMar>
            <w:top w:w="0" w:type="dxa"/>
            <w:left w:w="0" w:type="dxa"/>
            <w:bottom w:w="0" w:type="dxa"/>
            <w:right w:w="0" w:type="dxa"/>
          </w:tblCellMar>
        </w:tblPrEx>
        <w:trPr>
          <w:trHeight w:val="283" w:hRule="atLeast"/>
          <w:tblHeader/>
        </w:trPr>
        <w:tc>
          <w:tcPr>
            <w:tcW w:w="1080"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序号</w:t>
            </w:r>
          </w:p>
        </w:tc>
        <w:tc>
          <w:tcPr>
            <w:tcW w:w="3300"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桩名（编号）</w:t>
            </w:r>
          </w:p>
        </w:tc>
        <w:tc>
          <w:tcPr>
            <w:tcW w:w="291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坐标</w:t>
            </w:r>
          </w:p>
        </w:tc>
        <w:tc>
          <w:tcPr>
            <w:tcW w:w="1080"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备注</w:t>
            </w:r>
          </w:p>
        </w:tc>
      </w:tr>
      <w:tr>
        <w:tblPrEx>
          <w:tblCellMar>
            <w:top w:w="0" w:type="dxa"/>
            <w:left w:w="0" w:type="dxa"/>
            <w:bottom w:w="0" w:type="dxa"/>
            <w:right w:w="0" w:type="dxa"/>
          </w:tblCellMar>
        </w:tblPrEx>
        <w:trPr>
          <w:trHeight w:val="283" w:hRule="atLeast"/>
          <w:tblHeader/>
        </w:trPr>
        <w:tc>
          <w:tcPr>
            <w:tcW w:w="10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330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X</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Y</w:t>
            </w:r>
          </w:p>
        </w:tc>
        <w:tc>
          <w:tcPr>
            <w:tcW w:w="10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FE1D1DEA000L-431102-L4013</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546930.60</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2805357.12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sz w:val="22"/>
                <w:lang w:val="en-US" w:eastAsia="zh-CN"/>
              </w:rPr>
            </w:pPr>
            <w:r>
              <w:rPr>
                <w:rFonts w:hint="eastAsia" w:ascii="宋体" w:hAnsi="宋体" w:eastAsia="宋体" w:cs="宋体"/>
                <w:color w:val="000000"/>
                <w:kern w:val="0"/>
                <w:sz w:val="22"/>
                <w:lang w:val="en-US" w:eastAsia="zh-CN"/>
              </w:rPr>
              <w:t>公共界桩</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FE1D1DEA000L-431102-L4014</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546712.94</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2804252.90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val="en-US" w:eastAsia="zh-CN"/>
              </w:rPr>
              <w:t>公共界桩</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FE1D1DEA000L-431102-L4019</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546205.88</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2802849.02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val="en-US" w:eastAsia="zh-CN"/>
              </w:rPr>
              <w:t>公共界桩</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FE1D1DEA000L-431102-R4013</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547032.78</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2805323.72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val="en-US" w:eastAsia="zh-CN"/>
              </w:rPr>
              <w:t>公共界桩</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FE1D1DEA000L-431102-R4014</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546802.14</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2804023.49</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val="en-US" w:eastAsia="zh-CN"/>
              </w:rPr>
              <w:t>公共界桩</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FE1D1DEA000L-431102-R4024</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546322.41</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2800553.96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val="en-US" w:eastAsia="zh-CN"/>
              </w:rPr>
              <w:t>公共界桩</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FE1D1DE0000R-431124-L1010</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549845.71</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2809134.39</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val="en-US" w:eastAsia="zh-CN"/>
              </w:rPr>
              <w:t>公共界桩</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FE1D1DE0000R-431124-L1011</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550221.44</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2809131.99</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val="en-US" w:eastAsia="zh-CN"/>
              </w:rPr>
              <w:t>公共界桩</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FE1D1DEA000L-431102-L0001</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549813.95</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2808974.14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FE1D1DEA000L-431102-L0002</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549758.37</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2808810.64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FE1D1DEA000L-431102-L0003</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549098.32</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2808687.60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FE1D1DEA000L-431102-L0004</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549076.03</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2808383.66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13</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FE1D1DEA000L-431102-L0005</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548722.75</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2808022.77</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14</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FE1D1DEA000L-431102-L0006</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548256.27</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2807747.02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15</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FE1D1DEA000L-431102-L0007</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548040.12</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2807484.88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16</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FE1D1DEA000L-431102-L0008</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547284.38</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2807351.35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17</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FE1D1DEA000L-431102-L0009</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547072.59</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2806705.68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18</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FE1D1DEA000L-431102-L0010</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547017.78</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2806312.86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19</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FE1D1DEA000L-431102-L0011</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546991.89</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2805903.15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21</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FE1D1DEA000L-431102-L0012</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546959.67</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2805539.03</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22</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FE1D1DEA000L-431102-L0015</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546478.84</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2803856.37</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23</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FE1D1DEA000L-431102-L0016</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546467.17</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2803646.31</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24</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FE1D1DEA000L-431102-L0017</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546377.27</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2803279.73</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25</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FE1D1DEA000L-431102-L0018</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546220.61</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2803077.08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bookmarkStart w:id="96" w:name="_GoBack"/>
            <w:bookmarkEnd w:id="96"/>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26</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FE1D1DEA000L-431102-R0001</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550110.93</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2808924.44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27</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FE1D1DEA000L-431102-R0002</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549993.60</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2808259.31</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28</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FE1D1DEA000L-431102-R0003</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549665.97</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2808506.08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29</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FE1D1DEA000L-431102-R0004</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549441.21</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2808374.13</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30</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FE1D1DEA000L-431102-R0005</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548764.74</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2807851.05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31</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FE1D1DEA000L-431102-R0006</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548453.94</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2807566.96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32</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FE1D1DEA000L-431102-R0007</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548022.74</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2807305.47</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33</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FE1D1DEA000L-431102-R0008</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547606.18</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2807228.32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34</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FE1D1DEA000L-431102-R0009</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547432.01</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2806903.59</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35</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FE1D1DEA000L-431102-R0010</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547218.53</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2806197.10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36</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FE1D1DEA000L-431102-R0011</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547094.54</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2805782.44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37</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FE1D1DEA000L-431102-R0012</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547070.46</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2805577.05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38</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FE1D1DEA000L-431102-R0015</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546827.39</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2803851.97</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39</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FE1D1DEA000L-431102-R0016</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546780.92</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2803515.49</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40</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FE1D1DEA000L-431102-R0017</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546517.47</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2802997.24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41</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FE1D1DEA000L-431102-R0018</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546341.93</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2802494.96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42</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FE1D1DEA000L-431102-R0019</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546269.14</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2802188.06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43</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FE1D1DEA000L-431102-R0020</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546352.68</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2801689.65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44</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FE1D1DEA000L-431102-R0021</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546634.26</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2801363.02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45</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FE1D1DEA000L-431102-R0022</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546429.35</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2801052.47</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46</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FE1D1DEA000L-431102-R0023</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546333.73</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2800853.82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右岸</w:t>
            </w:r>
          </w:p>
        </w:tc>
      </w:tr>
    </w:tbl>
    <w:p>
      <w:pPr>
        <w:rPr>
          <w:rFonts w:ascii="Times New Roman" w:hAnsi="Times New Roman"/>
          <w:szCs w:val="21"/>
        </w:rPr>
      </w:pPr>
      <w:r>
        <w:rPr>
          <w:rFonts w:ascii="Times New Roman" w:hAnsi="Times New Roman"/>
          <w:szCs w:val="21"/>
        </w:rPr>
        <w:t>注：表中坐标系统：2000国家大地坐标系，中央经线11</w:t>
      </w:r>
      <w:r>
        <w:rPr>
          <w:rFonts w:hint="eastAsia" w:ascii="Times New Roman" w:hAnsi="Times New Roman"/>
          <w:szCs w:val="21"/>
        </w:rPr>
        <w:t>1°；</w:t>
      </w:r>
    </w:p>
    <w:p>
      <w:pPr>
        <w:ind w:firstLine="420"/>
        <w:rPr>
          <w:rFonts w:ascii="Times New Roman" w:hAnsi="Times New Roman"/>
          <w:szCs w:val="21"/>
        </w:rPr>
      </w:pPr>
      <w:r>
        <w:rPr>
          <w:rFonts w:ascii="Times New Roman" w:hAnsi="Times New Roman"/>
          <w:szCs w:val="21"/>
        </w:rPr>
        <w:t>高程系统：1985国家高程基准</w:t>
      </w:r>
      <w:r>
        <w:rPr>
          <w:rFonts w:hint="eastAsia" w:ascii="Times New Roman" w:hAnsi="Times New Roman"/>
          <w:szCs w:val="21"/>
        </w:rPr>
        <w:t>。</w:t>
      </w: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jc w:val="left"/>
        <w:rPr>
          <w:b/>
          <w:sz w:val="28"/>
        </w:rPr>
      </w:pPr>
    </w:p>
    <w:p>
      <w:pPr>
        <w:jc w:val="left"/>
        <w:rPr>
          <w:rFonts w:ascii="Times New Roman" w:hAnsi="Times New Roman"/>
          <w:szCs w:val="21"/>
        </w:rPr>
      </w:pPr>
      <w:r>
        <w:rPr>
          <w:rFonts w:hint="eastAsia"/>
          <w:b/>
          <w:sz w:val="28"/>
        </w:rPr>
        <w:t>附表  白湖村河</w:t>
      </w:r>
      <w:r>
        <w:rPr>
          <w:rFonts w:hint="eastAsia"/>
          <w:b/>
          <w:bCs/>
          <w:sz w:val="28"/>
          <w:szCs w:val="28"/>
        </w:rPr>
        <w:t>道县河段告示牌成果表</w:t>
      </w:r>
    </w:p>
    <w:tbl>
      <w:tblPr>
        <w:tblStyle w:val="22"/>
        <w:tblW w:w="8370" w:type="dxa"/>
        <w:tblInd w:w="0" w:type="dxa"/>
        <w:tblLayout w:type="fixed"/>
        <w:tblCellMar>
          <w:top w:w="0" w:type="dxa"/>
          <w:left w:w="0" w:type="dxa"/>
          <w:bottom w:w="0" w:type="dxa"/>
          <w:right w:w="0" w:type="dxa"/>
        </w:tblCellMar>
      </w:tblPr>
      <w:tblGrid>
        <w:gridCol w:w="1080"/>
        <w:gridCol w:w="3300"/>
        <w:gridCol w:w="1529"/>
        <w:gridCol w:w="1381"/>
        <w:gridCol w:w="1080"/>
      </w:tblGrid>
      <w:tr>
        <w:tblPrEx>
          <w:tblCellMar>
            <w:top w:w="0" w:type="dxa"/>
            <w:left w:w="0" w:type="dxa"/>
            <w:bottom w:w="0" w:type="dxa"/>
            <w:right w:w="0" w:type="dxa"/>
          </w:tblCellMar>
        </w:tblPrEx>
        <w:trPr>
          <w:trHeight w:val="283" w:hRule="atLeast"/>
          <w:tblHeader/>
        </w:trPr>
        <w:tc>
          <w:tcPr>
            <w:tcW w:w="1080"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序号</w:t>
            </w:r>
          </w:p>
        </w:tc>
        <w:tc>
          <w:tcPr>
            <w:tcW w:w="3300"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告示牌（编号）</w:t>
            </w:r>
          </w:p>
        </w:tc>
        <w:tc>
          <w:tcPr>
            <w:tcW w:w="291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坐标</w:t>
            </w:r>
          </w:p>
        </w:tc>
        <w:tc>
          <w:tcPr>
            <w:tcW w:w="1080"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备注</w:t>
            </w:r>
          </w:p>
        </w:tc>
      </w:tr>
      <w:tr>
        <w:tblPrEx>
          <w:tblCellMar>
            <w:top w:w="0" w:type="dxa"/>
            <w:left w:w="0" w:type="dxa"/>
            <w:bottom w:w="0" w:type="dxa"/>
            <w:right w:w="0" w:type="dxa"/>
          </w:tblCellMar>
        </w:tblPrEx>
        <w:trPr>
          <w:trHeight w:val="283" w:hRule="atLeast"/>
          <w:tblHeader/>
        </w:trPr>
        <w:tc>
          <w:tcPr>
            <w:tcW w:w="10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330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X</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Y</w:t>
            </w:r>
          </w:p>
        </w:tc>
        <w:tc>
          <w:tcPr>
            <w:tcW w:w="10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eastAsia="zh-CN"/>
              </w:rPr>
              <w:t>FE1D1DEA000L</w:t>
            </w:r>
            <w:r>
              <w:rPr>
                <w:rFonts w:hint="eastAsia" w:ascii="宋体" w:hAnsi="宋体" w:eastAsia="宋体" w:cs="宋体"/>
                <w:color w:val="000000"/>
                <w:kern w:val="0"/>
                <w:sz w:val="22"/>
              </w:rPr>
              <w:t>-431102-L001</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547998.34 </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2807509.37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eastAsia="zh-CN"/>
              </w:rPr>
              <w:t>FE1D1DEA000L</w:t>
            </w:r>
            <w:r>
              <w:rPr>
                <w:rFonts w:hint="eastAsia" w:ascii="宋体" w:hAnsi="宋体" w:eastAsia="宋体" w:cs="宋体"/>
                <w:color w:val="000000"/>
                <w:kern w:val="0"/>
                <w:sz w:val="22"/>
              </w:rPr>
              <w:t>-431102-L002</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546875.59 </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2805346.99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eastAsia="zh-CN"/>
              </w:rPr>
              <w:t>FE1D1DEA000L</w:t>
            </w:r>
            <w:r>
              <w:rPr>
                <w:rFonts w:hint="eastAsia" w:ascii="宋体" w:hAnsi="宋体" w:eastAsia="宋体" w:cs="宋体"/>
                <w:color w:val="000000"/>
                <w:kern w:val="0"/>
                <w:sz w:val="22"/>
              </w:rPr>
              <w:t>-431102-L003</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546718.68 </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2804236.37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eastAsia="zh-CN"/>
              </w:rPr>
              <w:t>FE1D1DEA000L</w:t>
            </w:r>
            <w:r>
              <w:rPr>
                <w:rFonts w:hint="eastAsia" w:ascii="宋体" w:hAnsi="宋体" w:eastAsia="宋体" w:cs="宋体"/>
                <w:color w:val="000000"/>
                <w:kern w:val="0"/>
                <w:sz w:val="22"/>
              </w:rPr>
              <w:t>-431102-R001</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550138.56 </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2809111.57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eastAsia="zh-CN"/>
              </w:rPr>
              <w:t>FE1D1DEA000L</w:t>
            </w:r>
            <w:r>
              <w:rPr>
                <w:rFonts w:hint="eastAsia" w:ascii="宋体" w:hAnsi="宋体" w:eastAsia="宋体" w:cs="宋体"/>
                <w:color w:val="000000"/>
                <w:kern w:val="0"/>
                <w:sz w:val="22"/>
              </w:rPr>
              <w:t>-431102-R002</w:t>
            </w:r>
          </w:p>
        </w:tc>
        <w:tc>
          <w:tcPr>
            <w:tcW w:w="15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549624.67</w:t>
            </w:r>
          </w:p>
        </w:tc>
        <w:tc>
          <w:tcPr>
            <w:tcW w:w="13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2808477.74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bl>
    <w:p>
      <w:pPr>
        <w:rPr>
          <w:rFonts w:ascii="Times New Roman" w:hAnsi="Times New Roman"/>
          <w:szCs w:val="21"/>
        </w:rPr>
      </w:pPr>
      <w:r>
        <w:rPr>
          <w:rFonts w:ascii="Times New Roman" w:hAnsi="Times New Roman"/>
          <w:szCs w:val="21"/>
        </w:rPr>
        <w:t>注：表中坐标系统：2000国家大地坐标系，中央经线11</w:t>
      </w:r>
      <w:r>
        <w:rPr>
          <w:rFonts w:hint="eastAsia" w:ascii="Times New Roman" w:hAnsi="Times New Roman"/>
          <w:szCs w:val="21"/>
        </w:rPr>
        <w:t>1°；</w:t>
      </w:r>
    </w:p>
    <w:p>
      <w:pPr>
        <w:ind w:firstLine="420"/>
        <w:rPr>
          <w:rFonts w:ascii="Times New Roman" w:hAnsi="Times New Roman"/>
          <w:szCs w:val="21"/>
        </w:rPr>
      </w:pPr>
      <w:r>
        <w:rPr>
          <w:rFonts w:ascii="Times New Roman" w:hAnsi="Times New Roman"/>
          <w:szCs w:val="21"/>
        </w:rPr>
        <w:t>高程系统：1985国家高程基准</w:t>
      </w:r>
      <w:r>
        <w:rPr>
          <w:rFonts w:hint="eastAsia" w:ascii="Times New Roman" w:hAnsi="Times New Roman"/>
          <w:szCs w:val="21"/>
        </w:rPr>
        <w:t>。</w:t>
      </w:r>
    </w:p>
    <w:p>
      <w:pPr>
        <w:rPr>
          <w:rFonts w:ascii="Times New Roman" w:hAnsi="Times New Roman"/>
          <w:szCs w:val="21"/>
        </w:rPr>
        <w:sectPr>
          <w:pgSz w:w="11906" w:h="16838"/>
          <w:pgMar w:top="1440" w:right="1800" w:bottom="1440" w:left="1800" w:header="851" w:footer="992" w:gutter="0"/>
          <w:cols w:space="425" w:num="1"/>
          <w:docGrid w:type="lines" w:linePitch="312" w:charSpace="0"/>
        </w:sectPr>
      </w:pPr>
    </w:p>
    <w:p>
      <w:pPr>
        <w:jc w:val="left"/>
        <w:rPr>
          <w:b/>
          <w:sz w:val="28"/>
        </w:rPr>
      </w:pPr>
      <w:r>
        <w:rPr>
          <w:rFonts w:hint="eastAsia"/>
          <w:b/>
          <w:sz w:val="28"/>
        </w:rPr>
        <w:t>附图  白湖村河道县河段管理范围线划定图册</w:t>
      </w:r>
    </w:p>
    <w:p>
      <w:pPr>
        <w:jc w:val="left"/>
        <w:rPr>
          <w:b/>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p>
  <w:p>
    <w:pPr>
      <w:pStyle w:val="16"/>
      <w:jc w:val="center"/>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sdt>
                <w:sdtPr>
                  <w:id w:val="797665599"/>
                </w:sdtPr>
                <w:sdtContent>
                  <w:p>
                    <w:pPr>
                      <w:pStyle w:val="16"/>
                      <w:jc w:val="center"/>
                    </w:pPr>
                    <w:r>
                      <w:fldChar w:fldCharType="begin"/>
                    </w:r>
                    <w:r>
                      <w:instrText xml:space="preserve">PAGE   \* MERGEFORMAT</w:instrText>
                    </w:r>
                    <w:r>
                      <w:fldChar w:fldCharType="separate"/>
                    </w:r>
                    <w:r>
                      <w:rPr>
                        <w:lang w:val="zh-CN"/>
                      </w:rPr>
                      <w:t>35</w:t>
                    </w:r>
                    <w:r>
                      <w:rPr>
                        <w:lang w:val="zh-CN"/>
                      </w:rPr>
                      <w:fldChar w:fldCharType="end"/>
                    </w:r>
                  </w:p>
                </w:sdtContent>
              </w:sdt>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7AE2A1"/>
    <w:multiLevelType w:val="singleLevel"/>
    <w:tmpl w:val="917AE2A1"/>
    <w:lvl w:ilvl="0" w:tentative="0">
      <w:start w:val="1"/>
      <w:numFmt w:val="chineseCounting"/>
      <w:suff w:val="nothing"/>
      <w:lvlText w:val="（%1）"/>
      <w:lvlJc w:val="left"/>
      <w:rPr>
        <w:rFonts w:hint="eastAsia"/>
      </w:rPr>
    </w:lvl>
  </w:abstractNum>
  <w:abstractNum w:abstractNumId="1">
    <w:nsid w:val="5BEC3411"/>
    <w:multiLevelType w:val="multilevel"/>
    <w:tmpl w:val="5BEC3411"/>
    <w:lvl w:ilvl="0" w:tentative="0">
      <w:start w:val="1"/>
      <w:numFmt w:val="decimal"/>
      <w:pStyle w:val="3"/>
      <w:lvlText w:val="%1"/>
      <w:lvlJc w:val="left"/>
      <w:pPr>
        <w:ind w:left="432" w:hanging="432"/>
      </w:pPr>
    </w:lvl>
    <w:lvl w:ilvl="1" w:tentative="0">
      <w:start w:val="1"/>
      <w:numFmt w:val="decimal"/>
      <w:pStyle w:val="4"/>
      <w:lvlText w:val="%1.%2"/>
      <w:lvlJc w:val="left"/>
      <w:pPr>
        <w:ind w:left="1002" w:hanging="576"/>
      </w:pPr>
    </w:lvl>
    <w:lvl w:ilvl="2" w:tentative="0">
      <w:start w:val="1"/>
      <w:numFmt w:val="decimal"/>
      <w:pStyle w:val="5"/>
      <w:lvlText w:val="%1.%2.%3"/>
      <w:lvlJc w:val="left"/>
      <w:pPr>
        <w:ind w:left="3272"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Y1YTY2YjYzYTMxMTBlMTMyZjQyNmVhMDg3MzFjYWUifQ=="/>
  </w:docVars>
  <w:rsids>
    <w:rsidRoot w:val="00172A27"/>
    <w:rsid w:val="000033E2"/>
    <w:rsid w:val="00013654"/>
    <w:rsid w:val="00016EEA"/>
    <w:rsid w:val="0002113C"/>
    <w:rsid w:val="000233C6"/>
    <w:rsid w:val="000253FF"/>
    <w:rsid w:val="00026179"/>
    <w:rsid w:val="00030CB1"/>
    <w:rsid w:val="000324E2"/>
    <w:rsid w:val="00034C70"/>
    <w:rsid w:val="000369C8"/>
    <w:rsid w:val="00040049"/>
    <w:rsid w:val="0004210F"/>
    <w:rsid w:val="00043B5F"/>
    <w:rsid w:val="00043B9C"/>
    <w:rsid w:val="00046C27"/>
    <w:rsid w:val="000555D1"/>
    <w:rsid w:val="00060699"/>
    <w:rsid w:val="0006574C"/>
    <w:rsid w:val="000667D1"/>
    <w:rsid w:val="00070A98"/>
    <w:rsid w:val="000732C1"/>
    <w:rsid w:val="00076461"/>
    <w:rsid w:val="00086210"/>
    <w:rsid w:val="00087254"/>
    <w:rsid w:val="000B0F74"/>
    <w:rsid w:val="000B1D9F"/>
    <w:rsid w:val="000B6456"/>
    <w:rsid w:val="000B7B3B"/>
    <w:rsid w:val="000C076C"/>
    <w:rsid w:val="000C4C71"/>
    <w:rsid w:val="000C59D4"/>
    <w:rsid w:val="000D25BA"/>
    <w:rsid w:val="000D450F"/>
    <w:rsid w:val="000D5923"/>
    <w:rsid w:val="000E1747"/>
    <w:rsid w:val="000E1763"/>
    <w:rsid w:val="000E3C4E"/>
    <w:rsid w:val="000E4BBE"/>
    <w:rsid w:val="000F0260"/>
    <w:rsid w:val="000F15C0"/>
    <w:rsid w:val="000F51FB"/>
    <w:rsid w:val="00101187"/>
    <w:rsid w:val="00101921"/>
    <w:rsid w:val="00103745"/>
    <w:rsid w:val="001112F7"/>
    <w:rsid w:val="00111F1A"/>
    <w:rsid w:val="00112781"/>
    <w:rsid w:val="001137DF"/>
    <w:rsid w:val="00114E7D"/>
    <w:rsid w:val="00115DD2"/>
    <w:rsid w:val="001219C5"/>
    <w:rsid w:val="00122842"/>
    <w:rsid w:val="00123ACA"/>
    <w:rsid w:val="00142E3A"/>
    <w:rsid w:val="00146FFA"/>
    <w:rsid w:val="00147BB2"/>
    <w:rsid w:val="00151996"/>
    <w:rsid w:val="0015501C"/>
    <w:rsid w:val="0015532D"/>
    <w:rsid w:val="0015557F"/>
    <w:rsid w:val="00156EBF"/>
    <w:rsid w:val="00157B30"/>
    <w:rsid w:val="00160F0E"/>
    <w:rsid w:val="00165E1E"/>
    <w:rsid w:val="00166188"/>
    <w:rsid w:val="00172A27"/>
    <w:rsid w:val="00176256"/>
    <w:rsid w:val="00177894"/>
    <w:rsid w:val="00180A26"/>
    <w:rsid w:val="00181B0B"/>
    <w:rsid w:val="001828F4"/>
    <w:rsid w:val="00192E0F"/>
    <w:rsid w:val="00193C12"/>
    <w:rsid w:val="0019595C"/>
    <w:rsid w:val="0019688B"/>
    <w:rsid w:val="001A01D3"/>
    <w:rsid w:val="001A3F7B"/>
    <w:rsid w:val="001B0D97"/>
    <w:rsid w:val="001B1A28"/>
    <w:rsid w:val="001B41A2"/>
    <w:rsid w:val="001C0D00"/>
    <w:rsid w:val="001C6BA6"/>
    <w:rsid w:val="001D37F5"/>
    <w:rsid w:val="001D7094"/>
    <w:rsid w:val="001E54C1"/>
    <w:rsid w:val="001E5770"/>
    <w:rsid w:val="001E68A7"/>
    <w:rsid w:val="001F06DD"/>
    <w:rsid w:val="001F2817"/>
    <w:rsid w:val="001F5597"/>
    <w:rsid w:val="001F641B"/>
    <w:rsid w:val="00200CA6"/>
    <w:rsid w:val="00200F59"/>
    <w:rsid w:val="002017A5"/>
    <w:rsid w:val="00204431"/>
    <w:rsid w:val="002045B5"/>
    <w:rsid w:val="00206984"/>
    <w:rsid w:val="00206F47"/>
    <w:rsid w:val="00207CD6"/>
    <w:rsid w:val="002107A1"/>
    <w:rsid w:val="002123F6"/>
    <w:rsid w:val="0021284E"/>
    <w:rsid w:val="00214446"/>
    <w:rsid w:val="0021551D"/>
    <w:rsid w:val="002240C5"/>
    <w:rsid w:val="00226A21"/>
    <w:rsid w:val="00227848"/>
    <w:rsid w:val="00227D4A"/>
    <w:rsid w:val="00231BDC"/>
    <w:rsid w:val="00240932"/>
    <w:rsid w:val="00240A6C"/>
    <w:rsid w:val="00241480"/>
    <w:rsid w:val="00242623"/>
    <w:rsid w:val="00245C1D"/>
    <w:rsid w:val="00245E22"/>
    <w:rsid w:val="00246760"/>
    <w:rsid w:val="002470D2"/>
    <w:rsid w:val="0025026D"/>
    <w:rsid w:val="00253505"/>
    <w:rsid w:val="00257A48"/>
    <w:rsid w:val="0026479A"/>
    <w:rsid w:val="00281C0A"/>
    <w:rsid w:val="00283604"/>
    <w:rsid w:val="00287D74"/>
    <w:rsid w:val="002923A4"/>
    <w:rsid w:val="002923C8"/>
    <w:rsid w:val="0029621A"/>
    <w:rsid w:val="002A054B"/>
    <w:rsid w:val="002A070D"/>
    <w:rsid w:val="002A5DF2"/>
    <w:rsid w:val="002A7603"/>
    <w:rsid w:val="002B0011"/>
    <w:rsid w:val="002B20C1"/>
    <w:rsid w:val="002B26FC"/>
    <w:rsid w:val="002B2EA0"/>
    <w:rsid w:val="002B6BF2"/>
    <w:rsid w:val="002B7C09"/>
    <w:rsid w:val="002C1365"/>
    <w:rsid w:val="002C49EE"/>
    <w:rsid w:val="002C7CDB"/>
    <w:rsid w:val="002D10B1"/>
    <w:rsid w:val="002D1190"/>
    <w:rsid w:val="002D2105"/>
    <w:rsid w:val="002D26E0"/>
    <w:rsid w:val="002D2BD3"/>
    <w:rsid w:val="002D48CB"/>
    <w:rsid w:val="002D54E7"/>
    <w:rsid w:val="002D6285"/>
    <w:rsid w:val="002E5DF2"/>
    <w:rsid w:val="002E7D2B"/>
    <w:rsid w:val="002F55D6"/>
    <w:rsid w:val="002F5D6D"/>
    <w:rsid w:val="002F635B"/>
    <w:rsid w:val="002F685B"/>
    <w:rsid w:val="00300A0A"/>
    <w:rsid w:val="00302136"/>
    <w:rsid w:val="003068EE"/>
    <w:rsid w:val="003110B9"/>
    <w:rsid w:val="0031190C"/>
    <w:rsid w:val="0031386A"/>
    <w:rsid w:val="00315C91"/>
    <w:rsid w:val="003237F7"/>
    <w:rsid w:val="00332B85"/>
    <w:rsid w:val="00336490"/>
    <w:rsid w:val="00336C38"/>
    <w:rsid w:val="0033778B"/>
    <w:rsid w:val="003441E9"/>
    <w:rsid w:val="00346375"/>
    <w:rsid w:val="0034656E"/>
    <w:rsid w:val="0034737F"/>
    <w:rsid w:val="00350A8F"/>
    <w:rsid w:val="00355E85"/>
    <w:rsid w:val="0035742E"/>
    <w:rsid w:val="003631D0"/>
    <w:rsid w:val="00364E29"/>
    <w:rsid w:val="00371517"/>
    <w:rsid w:val="00372FC3"/>
    <w:rsid w:val="003847AD"/>
    <w:rsid w:val="003859FF"/>
    <w:rsid w:val="003911AD"/>
    <w:rsid w:val="00393D38"/>
    <w:rsid w:val="00396C2F"/>
    <w:rsid w:val="003A1147"/>
    <w:rsid w:val="003A17A5"/>
    <w:rsid w:val="003A3BAD"/>
    <w:rsid w:val="003A3EB3"/>
    <w:rsid w:val="003A6AAA"/>
    <w:rsid w:val="003B1100"/>
    <w:rsid w:val="003B2939"/>
    <w:rsid w:val="003C3073"/>
    <w:rsid w:val="003C5BD4"/>
    <w:rsid w:val="003C7E77"/>
    <w:rsid w:val="003D1B0B"/>
    <w:rsid w:val="003D1FD7"/>
    <w:rsid w:val="003D28E6"/>
    <w:rsid w:val="003D3FE6"/>
    <w:rsid w:val="003D4DCD"/>
    <w:rsid w:val="003D7053"/>
    <w:rsid w:val="003E2761"/>
    <w:rsid w:val="003E5688"/>
    <w:rsid w:val="003E6577"/>
    <w:rsid w:val="003F05C0"/>
    <w:rsid w:val="003F3EF9"/>
    <w:rsid w:val="003F5F11"/>
    <w:rsid w:val="0040091C"/>
    <w:rsid w:val="00400AA9"/>
    <w:rsid w:val="004038F9"/>
    <w:rsid w:val="0041245F"/>
    <w:rsid w:val="004133B6"/>
    <w:rsid w:val="00415D1D"/>
    <w:rsid w:val="004177B9"/>
    <w:rsid w:val="00421D5D"/>
    <w:rsid w:val="00421F9F"/>
    <w:rsid w:val="00423D0F"/>
    <w:rsid w:val="00425EC6"/>
    <w:rsid w:val="00433C7C"/>
    <w:rsid w:val="00437C7D"/>
    <w:rsid w:val="00443758"/>
    <w:rsid w:val="004441F3"/>
    <w:rsid w:val="004500FD"/>
    <w:rsid w:val="00450764"/>
    <w:rsid w:val="00454408"/>
    <w:rsid w:val="0045607E"/>
    <w:rsid w:val="004607A5"/>
    <w:rsid w:val="00460DF3"/>
    <w:rsid w:val="00461D14"/>
    <w:rsid w:val="00475E2F"/>
    <w:rsid w:val="00476400"/>
    <w:rsid w:val="00480CF9"/>
    <w:rsid w:val="0048470E"/>
    <w:rsid w:val="0049219A"/>
    <w:rsid w:val="00493CDE"/>
    <w:rsid w:val="004A178A"/>
    <w:rsid w:val="004A6341"/>
    <w:rsid w:val="004A706E"/>
    <w:rsid w:val="004B1F38"/>
    <w:rsid w:val="004B30B6"/>
    <w:rsid w:val="004C04FF"/>
    <w:rsid w:val="004C24F8"/>
    <w:rsid w:val="004C3C39"/>
    <w:rsid w:val="004C7630"/>
    <w:rsid w:val="004D323B"/>
    <w:rsid w:val="004D3F29"/>
    <w:rsid w:val="004D50F7"/>
    <w:rsid w:val="004D5B7E"/>
    <w:rsid w:val="004D7C97"/>
    <w:rsid w:val="004E0CF9"/>
    <w:rsid w:val="004F28AB"/>
    <w:rsid w:val="005033A0"/>
    <w:rsid w:val="00505212"/>
    <w:rsid w:val="00505E47"/>
    <w:rsid w:val="00511F61"/>
    <w:rsid w:val="00514F9C"/>
    <w:rsid w:val="00515845"/>
    <w:rsid w:val="00517BC2"/>
    <w:rsid w:val="0052242B"/>
    <w:rsid w:val="00526C08"/>
    <w:rsid w:val="005316BC"/>
    <w:rsid w:val="00531CD4"/>
    <w:rsid w:val="00533744"/>
    <w:rsid w:val="00542DEB"/>
    <w:rsid w:val="00546250"/>
    <w:rsid w:val="00551C7F"/>
    <w:rsid w:val="005524E4"/>
    <w:rsid w:val="00564C2E"/>
    <w:rsid w:val="00570131"/>
    <w:rsid w:val="005732E0"/>
    <w:rsid w:val="005748FF"/>
    <w:rsid w:val="005755E3"/>
    <w:rsid w:val="0057645B"/>
    <w:rsid w:val="005767F0"/>
    <w:rsid w:val="0058295B"/>
    <w:rsid w:val="0058380E"/>
    <w:rsid w:val="00584A7F"/>
    <w:rsid w:val="00585642"/>
    <w:rsid w:val="00592956"/>
    <w:rsid w:val="00593234"/>
    <w:rsid w:val="005936DD"/>
    <w:rsid w:val="00593BBB"/>
    <w:rsid w:val="005A03E4"/>
    <w:rsid w:val="005A5AC2"/>
    <w:rsid w:val="005A6179"/>
    <w:rsid w:val="005A77D4"/>
    <w:rsid w:val="005A7FB1"/>
    <w:rsid w:val="005C0E09"/>
    <w:rsid w:val="005C164B"/>
    <w:rsid w:val="005C1B26"/>
    <w:rsid w:val="005C1CCD"/>
    <w:rsid w:val="005C3DED"/>
    <w:rsid w:val="005C4DE5"/>
    <w:rsid w:val="005C55EF"/>
    <w:rsid w:val="005D0281"/>
    <w:rsid w:val="005D098C"/>
    <w:rsid w:val="005D0F4C"/>
    <w:rsid w:val="005D146C"/>
    <w:rsid w:val="005D22DA"/>
    <w:rsid w:val="005D33F2"/>
    <w:rsid w:val="005D7618"/>
    <w:rsid w:val="005E2873"/>
    <w:rsid w:val="005E2DB4"/>
    <w:rsid w:val="005E3B84"/>
    <w:rsid w:val="005E58AD"/>
    <w:rsid w:val="005E7FC9"/>
    <w:rsid w:val="005F04BE"/>
    <w:rsid w:val="005F2A83"/>
    <w:rsid w:val="005F3266"/>
    <w:rsid w:val="005F3DD4"/>
    <w:rsid w:val="005F4EBD"/>
    <w:rsid w:val="006018AA"/>
    <w:rsid w:val="006034C8"/>
    <w:rsid w:val="006075AB"/>
    <w:rsid w:val="006076FE"/>
    <w:rsid w:val="00610FF3"/>
    <w:rsid w:val="00611A94"/>
    <w:rsid w:val="0062332C"/>
    <w:rsid w:val="00623426"/>
    <w:rsid w:val="00625128"/>
    <w:rsid w:val="00633CAF"/>
    <w:rsid w:val="006344E1"/>
    <w:rsid w:val="006373D8"/>
    <w:rsid w:val="00637A45"/>
    <w:rsid w:val="00640051"/>
    <w:rsid w:val="00642D45"/>
    <w:rsid w:val="00650589"/>
    <w:rsid w:val="00655BE9"/>
    <w:rsid w:val="00662FB3"/>
    <w:rsid w:val="00664E3A"/>
    <w:rsid w:val="0066564B"/>
    <w:rsid w:val="00667A5E"/>
    <w:rsid w:val="006712A0"/>
    <w:rsid w:val="0067161E"/>
    <w:rsid w:val="0067369B"/>
    <w:rsid w:val="00674968"/>
    <w:rsid w:val="00686890"/>
    <w:rsid w:val="00692554"/>
    <w:rsid w:val="00693833"/>
    <w:rsid w:val="00693990"/>
    <w:rsid w:val="00694AAF"/>
    <w:rsid w:val="00695E5D"/>
    <w:rsid w:val="00697327"/>
    <w:rsid w:val="006A138E"/>
    <w:rsid w:val="006A740B"/>
    <w:rsid w:val="006B23C4"/>
    <w:rsid w:val="006B5667"/>
    <w:rsid w:val="006C41CD"/>
    <w:rsid w:val="006D30A0"/>
    <w:rsid w:val="006D4404"/>
    <w:rsid w:val="006D475A"/>
    <w:rsid w:val="006D5609"/>
    <w:rsid w:val="006E41D4"/>
    <w:rsid w:val="006E5FB0"/>
    <w:rsid w:val="006E6F3F"/>
    <w:rsid w:val="006F1E97"/>
    <w:rsid w:val="006F22F4"/>
    <w:rsid w:val="006F3831"/>
    <w:rsid w:val="006F3856"/>
    <w:rsid w:val="006F59AE"/>
    <w:rsid w:val="0070026C"/>
    <w:rsid w:val="00704741"/>
    <w:rsid w:val="00705029"/>
    <w:rsid w:val="007141F6"/>
    <w:rsid w:val="00716519"/>
    <w:rsid w:val="007226CA"/>
    <w:rsid w:val="00722982"/>
    <w:rsid w:val="007303AE"/>
    <w:rsid w:val="00732A5F"/>
    <w:rsid w:val="00734831"/>
    <w:rsid w:val="0073740C"/>
    <w:rsid w:val="00737FF4"/>
    <w:rsid w:val="00742DB9"/>
    <w:rsid w:val="00752A98"/>
    <w:rsid w:val="00757276"/>
    <w:rsid w:val="00762257"/>
    <w:rsid w:val="0076664D"/>
    <w:rsid w:val="00770C7B"/>
    <w:rsid w:val="0077334E"/>
    <w:rsid w:val="00774FB8"/>
    <w:rsid w:val="007867E3"/>
    <w:rsid w:val="007951AC"/>
    <w:rsid w:val="007967E8"/>
    <w:rsid w:val="007A1AEC"/>
    <w:rsid w:val="007A355F"/>
    <w:rsid w:val="007A4590"/>
    <w:rsid w:val="007B1DF1"/>
    <w:rsid w:val="007B2355"/>
    <w:rsid w:val="007B383A"/>
    <w:rsid w:val="007B7600"/>
    <w:rsid w:val="007C1A1F"/>
    <w:rsid w:val="007C42AC"/>
    <w:rsid w:val="007C4603"/>
    <w:rsid w:val="007C7900"/>
    <w:rsid w:val="007D61FF"/>
    <w:rsid w:val="007E090F"/>
    <w:rsid w:val="007E0A1D"/>
    <w:rsid w:val="007E5534"/>
    <w:rsid w:val="007E5C08"/>
    <w:rsid w:val="007E65D6"/>
    <w:rsid w:val="007E708F"/>
    <w:rsid w:val="007F0F3A"/>
    <w:rsid w:val="007F783F"/>
    <w:rsid w:val="007F7ACA"/>
    <w:rsid w:val="0080270E"/>
    <w:rsid w:val="00803996"/>
    <w:rsid w:val="00805845"/>
    <w:rsid w:val="008100C6"/>
    <w:rsid w:val="0081610F"/>
    <w:rsid w:val="00820D13"/>
    <w:rsid w:val="00823101"/>
    <w:rsid w:val="008235D8"/>
    <w:rsid w:val="00830BF8"/>
    <w:rsid w:val="00830BFD"/>
    <w:rsid w:val="00832134"/>
    <w:rsid w:val="008336CC"/>
    <w:rsid w:val="00833BF0"/>
    <w:rsid w:val="008371E6"/>
    <w:rsid w:val="00840434"/>
    <w:rsid w:val="00841071"/>
    <w:rsid w:val="00845644"/>
    <w:rsid w:val="00845A39"/>
    <w:rsid w:val="00850144"/>
    <w:rsid w:val="0085186E"/>
    <w:rsid w:val="00852ADC"/>
    <w:rsid w:val="00854618"/>
    <w:rsid w:val="008552F1"/>
    <w:rsid w:val="00856765"/>
    <w:rsid w:val="00860500"/>
    <w:rsid w:val="0086128D"/>
    <w:rsid w:val="00861DD2"/>
    <w:rsid w:val="00863A67"/>
    <w:rsid w:val="00864341"/>
    <w:rsid w:val="0086588A"/>
    <w:rsid w:val="00873257"/>
    <w:rsid w:val="00873746"/>
    <w:rsid w:val="00881A7B"/>
    <w:rsid w:val="008947C1"/>
    <w:rsid w:val="00895439"/>
    <w:rsid w:val="00895545"/>
    <w:rsid w:val="008A3CFD"/>
    <w:rsid w:val="008A54B7"/>
    <w:rsid w:val="008A6581"/>
    <w:rsid w:val="008B1E82"/>
    <w:rsid w:val="008B2870"/>
    <w:rsid w:val="008B5B00"/>
    <w:rsid w:val="008C18B1"/>
    <w:rsid w:val="008C3919"/>
    <w:rsid w:val="008D3E02"/>
    <w:rsid w:val="008D6B7F"/>
    <w:rsid w:val="008D6D6D"/>
    <w:rsid w:val="008E0E68"/>
    <w:rsid w:val="008E15E4"/>
    <w:rsid w:val="008E1E56"/>
    <w:rsid w:val="008E2F08"/>
    <w:rsid w:val="008E5811"/>
    <w:rsid w:val="008E5DC6"/>
    <w:rsid w:val="008E7701"/>
    <w:rsid w:val="0090132C"/>
    <w:rsid w:val="00906250"/>
    <w:rsid w:val="00910192"/>
    <w:rsid w:val="00913045"/>
    <w:rsid w:val="00916981"/>
    <w:rsid w:val="00917188"/>
    <w:rsid w:val="009206CD"/>
    <w:rsid w:val="00921C71"/>
    <w:rsid w:val="0092231A"/>
    <w:rsid w:val="0094153F"/>
    <w:rsid w:val="00942FA4"/>
    <w:rsid w:val="0094684E"/>
    <w:rsid w:val="00946A48"/>
    <w:rsid w:val="009523D3"/>
    <w:rsid w:val="00962614"/>
    <w:rsid w:val="00972088"/>
    <w:rsid w:val="00975CC3"/>
    <w:rsid w:val="009767BB"/>
    <w:rsid w:val="00976D12"/>
    <w:rsid w:val="00977700"/>
    <w:rsid w:val="00977A34"/>
    <w:rsid w:val="009911E1"/>
    <w:rsid w:val="00993519"/>
    <w:rsid w:val="009973AC"/>
    <w:rsid w:val="009A02FD"/>
    <w:rsid w:val="009A251A"/>
    <w:rsid w:val="009A27B0"/>
    <w:rsid w:val="009A4A19"/>
    <w:rsid w:val="009D4D6A"/>
    <w:rsid w:val="009D4F82"/>
    <w:rsid w:val="009D6AF0"/>
    <w:rsid w:val="009E18C9"/>
    <w:rsid w:val="009E1EC3"/>
    <w:rsid w:val="009E377C"/>
    <w:rsid w:val="009E4C38"/>
    <w:rsid w:val="009E606A"/>
    <w:rsid w:val="009E6FA5"/>
    <w:rsid w:val="009F27DD"/>
    <w:rsid w:val="009F3802"/>
    <w:rsid w:val="009F4C13"/>
    <w:rsid w:val="009F7FA5"/>
    <w:rsid w:val="00A00042"/>
    <w:rsid w:val="00A014E3"/>
    <w:rsid w:val="00A020B3"/>
    <w:rsid w:val="00A0524D"/>
    <w:rsid w:val="00A07430"/>
    <w:rsid w:val="00A13955"/>
    <w:rsid w:val="00A16FC5"/>
    <w:rsid w:val="00A26A44"/>
    <w:rsid w:val="00A30DB1"/>
    <w:rsid w:val="00A33982"/>
    <w:rsid w:val="00A33F3C"/>
    <w:rsid w:val="00A3668D"/>
    <w:rsid w:val="00A446AF"/>
    <w:rsid w:val="00A504C4"/>
    <w:rsid w:val="00A50F24"/>
    <w:rsid w:val="00A53268"/>
    <w:rsid w:val="00A53678"/>
    <w:rsid w:val="00A53AE0"/>
    <w:rsid w:val="00A56C60"/>
    <w:rsid w:val="00A57600"/>
    <w:rsid w:val="00A6256E"/>
    <w:rsid w:val="00A6792F"/>
    <w:rsid w:val="00A73645"/>
    <w:rsid w:val="00A758F3"/>
    <w:rsid w:val="00A7598E"/>
    <w:rsid w:val="00A820B7"/>
    <w:rsid w:val="00A826D1"/>
    <w:rsid w:val="00A82D1A"/>
    <w:rsid w:val="00A84A92"/>
    <w:rsid w:val="00A9363E"/>
    <w:rsid w:val="00A959EE"/>
    <w:rsid w:val="00AA0FB1"/>
    <w:rsid w:val="00AA23C5"/>
    <w:rsid w:val="00AA5A6F"/>
    <w:rsid w:val="00AA7EFC"/>
    <w:rsid w:val="00AB08C6"/>
    <w:rsid w:val="00AB0FD5"/>
    <w:rsid w:val="00AB111B"/>
    <w:rsid w:val="00AB324C"/>
    <w:rsid w:val="00AB542D"/>
    <w:rsid w:val="00AC0868"/>
    <w:rsid w:val="00AC1BF7"/>
    <w:rsid w:val="00AC2074"/>
    <w:rsid w:val="00AC26EE"/>
    <w:rsid w:val="00AC39F7"/>
    <w:rsid w:val="00AC4B50"/>
    <w:rsid w:val="00AD5610"/>
    <w:rsid w:val="00AD687D"/>
    <w:rsid w:val="00AD7183"/>
    <w:rsid w:val="00AD7A10"/>
    <w:rsid w:val="00AF4395"/>
    <w:rsid w:val="00AF4B6C"/>
    <w:rsid w:val="00AF5F12"/>
    <w:rsid w:val="00AF6C08"/>
    <w:rsid w:val="00B024BC"/>
    <w:rsid w:val="00B07846"/>
    <w:rsid w:val="00B16D0B"/>
    <w:rsid w:val="00B27E7B"/>
    <w:rsid w:val="00B302D0"/>
    <w:rsid w:val="00B3439E"/>
    <w:rsid w:val="00B34DC9"/>
    <w:rsid w:val="00B37E9E"/>
    <w:rsid w:val="00B42053"/>
    <w:rsid w:val="00B44654"/>
    <w:rsid w:val="00B452DE"/>
    <w:rsid w:val="00B51E57"/>
    <w:rsid w:val="00B53951"/>
    <w:rsid w:val="00B53976"/>
    <w:rsid w:val="00B7250C"/>
    <w:rsid w:val="00B7324D"/>
    <w:rsid w:val="00B77EC3"/>
    <w:rsid w:val="00B827E6"/>
    <w:rsid w:val="00B82988"/>
    <w:rsid w:val="00B8419A"/>
    <w:rsid w:val="00B86A36"/>
    <w:rsid w:val="00B94EFC"/>
    <w:rsid w:val="00B951FC"/>
    <w:rsid w:val="00BA2A96"/>
    <w:rsid w:val="00BA45E2"/>
    <w:rsid w:val="00BA484C"/>
    <w:rsid w:val="00BB1DB6"/>
    <w:rsid w:val="00BB32FD"/>
    <w:rsid w:val="00BB4363"/>
    <w:rsid w:val="00BB6510"/>
    <w:rsid w:val="00BC1E3E"/>
    <w:rsid w:val="00BC308F"/>
    <w:rsid w:val="00BC3F04"/>
    <w:rsid w:val="00BC6598"/>
    <w:rsid w:val="00BC6951"/>
    <w:rsid w:val="00BC7006"/>
    <w:rsid w:val="00BC7876"/>
    <w:rsid w:val="00BD035C"/>
    <w:rsid w:val="00BD39B9"/>
    <w:rsid w:val="00BD49B1"/>
    <w:rsid w:val="00BD4E75"/>
    <w:rsid w:val="00BE15A7"/>
    <w:rsid w:val="00BE186B"/>
    <w:rsid w:val="00BE18D0"/>
    <w:rsid w:val="00BE3DEB"/>
    <w:rsid w:val="00BE4FA0"/>
    <w:rsid w:val="00BE7D52"/>
    <w:rsid w:val="00BE7F9F"/>
    <w:rsid w:val="00BF58B7"/>
    <w:rsid w:val="00BF5C81"/>
    <w:rsid w:val="00C0668E"/>
    <w:rsid w:val="00C074A5"/>
    <w:rsid w:val="00C109EB"/>
    <w:rsid w:val="00C147A5"/>
    <w:rsid w:val="00C162E8"/>
    <w:rsid w:val="00C17A96"/>
    <w:rsid w:val="00C17B7E"/>
    <w:rsid w:val="00C23C9E"/>
    <w:rsid w:val="00C27D14"/>
    <w:rsid w:val="00C329B1"/>
    <w:rsid w:val="00C36297"/>
    <w:rsid w:val="00C40EE3"/>
    <w:rsid w:val="00C424C5"/>
    <w:rsid w:val="00C43286"/>
    <w:rsid w:val="00C447C6"/>
    <w:rsid w:val="00C45D8B"/>
    <w:rsid w:val="00C472B9"/>
    <w:rsid w:val="00C50065"/>
    <w:rsid w:val="00C5132B"/>
    <w:rsid w:val="00C54263"/>
    <w:rsid w:val="00C569C6"/>
    <w:rsid w:val="00C56D69"/>
    <w:rsid w:val="00C63E7A"/>
    <w:rsid w:val="00C67C28"/>
    <w:rsid w:val="00C736ED"/>
    <w:rsid w:val="00C76D18"/>
    <w:rsid w:val="00C81149"/>
    <w:rsid w:val="00C82E97"/>
    <w:rsid w:val="00C849C5"/>
    <w:rsid w:val="00C87AEE"/>
    <w:rsid w:val="00C91454"/>
    <w:rsid w:val="00C9546F"/>
    <w:rsid w:val="00C965C2"/>
    <w:rsid w:val="00CA2CED"/>
    <w:rsid w:val="00CA2FDE"/>
    <w:rsid w:val="00CA5147"/>
    <w:rsid w:val="00CA730B"/>
    <w:rsid w:val="00CA7F9A"/>
    <w:rsid w:val="00CB1EFA"/>
    <w:rsid w:val="00CB3131"/>
    <w:rsid w:val="00CB31D6"/>
    <w:rsid w:val="00CC3F9D"/>
    <w:rsid w:val="00CC4748"/>
    <w:rsid w:val="00CC5547"/>
    <w:rsid w:val="00CC5B4F"/>
    <w:rsid w:val="00CC5C1A"/>
    <w:rsid w:val="00CC70FD"/>
    <w:rsid w:val="00CD0325"/>
    <w:rsid w:val="00CD05A0"/>
    <w:rsid w:val="00CD0E98"/>
    <w:rsid w:val="00CD70F7"/>
    <w:rsid w:val="00CE1360"/>
    <w:rsid w:val="00CE2AA2"/>
    <w:rsid w:val="00CE3F8C"/>
    <w:rsid w:val="00CE46FF"/>
    <w:rsid w:val="00CF3D28"/>
    <w:rsid w:val="00CF558A"/>
    <w:rsid w:val="00CF7147"/>
    <w:rsid w:val="00D10C18"/>
    <w:rsid w:val="00D1412F"/>
    <w:rsid w:val="00D16F6F"/>
    <w:rsid w:val="00D20D37"/>
    <w:rsid w:val="00D2195E"/>
    <w:rsid w:val="00D21C1B"/>
    <w:rsid w:val="00D2323D"/>
    <w:rsid w:val="00D26235"/>
    <w:rsid w:val="00D2792A"/>
    <w:rsid w:val="00D27DDC"/>
    <w:rsid w:val="00D3569F"/>
    <w:rsid w:val="00D4448C"/>
    <w:rsid w:val="00D46A78"/>
    <w:rsid w:val="00D5097C"/>
    <w:rsid w:val="00D50C90"/>
    <w:rsid w:val="00D5183B"/>
    <w:rsid w:val="00D51DAA"/>
    <w:rsid w:val="00D52C9E"/>
    <w:rsid w:val="00D533CA"/>
    <w:rsid w:val="00D53CB0"/>
    <w:rsid w:val="00D54280"/>
    <w:rsid w:val="00D546F9"/>
    <w:rsid w:val="00D550BC"/>
    <w:rsid w:val="00D56314"/>
    <w:rsid w:val="00D601F3"/>
    <w:rsid w:val="00D621F1"/>
    <w:rsid w:val="00D62497"/>
    <w:rsid w:val="00D648E2"/>
    <w:rsid w:val="00D65FAB"/>
    <w:rsid w:val="00D67353"/>
    <w:rsid w:val="00D67C29"/>
    <w:rsid w:val="00D67C5E"/>
    <w:rsid w:val="00D71F0C"/>
    <w:rsid w:val="00D7221A"/>
    <w:rsid w:val="00D734B9"/>
    <w:rsid w:val="00D76A4B"/>
    <w:rsid w:val="00D76BC0"/>
    <w:rsid w:val="00D7762E"/>
    <w:rsid w:val="00D8201D"/>
    <w:rsid w:val="00D86398"/>
    <w:rsid w:val="00D87775"/>
    <w:rsid w:val="00D902F6"/>
    <w:rsid w:val="00D93027"/>
    <w:rsid w:val="00D95A84"/>
    <w:rsid w:val="00D96E6B"/>
    <w:rsid w:val="00DA054A"/>
    <w:rsid w:val="00DA2003"/>
    <w:rsid w:val="00DB0130"/>
    <w:rsid w:val="00DB59EE"/>
    <w:rsid w:val="00DC00C6"/>
    <w:rsid w:val="00DC1F2A"/>
    <w:rsid w:val="00DC3AEC"/>
    <w:rsid w:val="00DC5CEC"/>
    <w:rsid w:val="00DC7356"/>
    <w:rsid w:val="00DD3E3B"/>
    <w:rsid w:val="00DD7F45"/>
    <w:rsid w:val="00DE0E0F"/>
    <w:rsid w:val="00DE13A0"/>
    <w:rsid w:val="00DE4E9A"/>
    <w:rsid w:val="00DE6E37"/>
    <w:rsid w:val="00DE796F"/>
    <w:rsid w:val="00DF1A00"/>
    <w:rsid w:val="00DF1AE8"/>
    <w:rsid w:val="00DF2A3D"/>
    <w:rsid w:val="00DF35FE"/>
    <w:rsid w:val="00E044BE"/>
    <w:rsid w:val="00E061CA"/>
    <w:rsid w:val="00E073B6"/>
    <w:rsid w:val="00E111AD"/>
    <w:rsid w:val="00E11535"/>
    <w:rsid w:val="00E119BB"/>
    <w:rsid w:val="00E12CCA"/>
    <w:rsid w:val="00E13E68"/>
    <w:rsid w:val="00E17E75"/>
    <w:rsid w:val="00E23D35"/>
    <w:rsid w:val="00E23E5F"/>
    <w:rsid w:val="00E2750F"/>
    <w:rsid w:val="00E31917"/>
    <w:rsid w:val="00E33271"/>
    <w:rsid w:val="00E4151A"/>
    <w:rsid w:val="00E4170F"/>
    <w:rsid w:val="00E41DB1"/>
    <w:rsid w:val="00E41E2D"/>
    <w:rsid w:val="00E42CA7"/>
    <w:rsid w:val="00E46B14"/>
    <w:rsid w:val="00E54E29"/>
    <w:rsid w:val="00E6126C"/>
    <w:rsid w:val="00E6135A"/>
    <w:rsid w:val="00E64958"/>
    <w:rsid w:val="00E71957"/>
    <w:rsid w:val="00E71FB9"/>
    <w:rsid w:val="00E73984"/>
    <w:rsid w:val="00E81752"/>
    <w:rsid w:val="00E83619"/>
    <w:rsid w:val="00E844C3"/>
    <w:rsid w:val="00E85B3F"/>
    <w:rsid w:val="00E905B9"/>
    <w:rsid w:val="00E9107B"/>
    <w:rsid w:val="00E97C0A"/>
    <w:rsid w:val="00EA0AC7"/>
    <w:rsid w:val="00EA2475"/>
    <w:rsid w:val="00EA2A59"/>
    <w:rsid w:val="00EA5961"/>
    <w:rsid w:val="00EA615E"/>
    <w:rsid w:val="00EB46EF"/>
    <w:rsid w:val="00EB6946"/>
    <w:rsid w:val="00EB7A06"/>
    <w:rsid w:val="00EC0616"/>
    <w:rsid w:val="00EC1A1E"/>
    <w:rsid w:val="00EC2786"/>
    <w:rsid w:val="00ED181B"/>
    <w:rsid w:val="00ED3E69"/>
    <w:rsid w:val="00ED52C4"/>
    <w:rsid w:val="00EE05E5"/>
    <w:rsid w:val="00EE6B63"/>
    <w:rsid w:val="00EF30EC"/>
    <w:rsid w:val="00F00503"/>
    <w:rsid w:val="00F01D7E"/>
    <w:rsid w:val="00F01F23"/>
    <w:rsid w:val="00F033AF"/>
    <w:rsid w:val="00F03DC1"/>
    <w:rsid w:val="00F058B2"/>
    <w:rsid w:val="00F129E3"/>
    <w:rsid w:val="00F134F6"/>
    <w:rsid w:val="00F13632"/>
    <w:rsid w:val="00F13CA6"/>
    <w:rsid w:val="00F1528C"/>
    <w:rsid w:val="00F16114"/>
    <w:rsid w:val="00F20234"/>
    <w:rsid w:val="00F23562"/>
    <w:rsid w:val="00F25F8A"/>
    <w:rsid w:val="00F30623"/>
    <w:rsid w:val="00F3357F"/>
    <w:rsid w:val="00F35F4F"/>
    <w:rsid w:val="00F366FA"/>
    <w:rsid w:val="00F40B16"/>
    <w:rsid w:val="00F41D53"/>
    <w:rsid w:val="00F43287"/>
    <w:rsid w:val="00F562BD"/>
    <w:rsid w:val="00F57C18"/>
    <w:rsid w:val="00F60B8F"/>
    <w:rsid w:val="00F6284C"/>
    <w:rsid w:val="00F66243"/>
    <w:rsid w:val="00F672BC"/>
    <w:rsid w:val="00F67802"/>
    <w:rsid w:val="00F713B3"/>
    <w:rsid w:val="00F713F7"/>
    <w:rsid w:val="00F811D9"/>
    <w:rsid w:val="00F81659"/>
    <w:rsid w:val="00F846BA"/>
    <w:rsid w:val="00F84ABE"/>
    <w:rsid w:val="00F85947"/>
    <w:rsid w:val="00F8789E"/>
    <w:rsid w:val="00F87992"/>
    <w:rsid w:val="00F87C2C"/>
    <w:rsid w:val="00F925A9"/>
    <w:rsid w:val="00F96A4D"/>
    <w:rsid w:val="00F97189"/>
    <w:rsid w:val="00F97445"/>
    <w:rsid w:val="00F97E00"/>
    <w:rsid w:val="00F97E94"/>
    <w:rsid w:val="00FA5E6F"/>
    <w:rsid w:val="00FB2002"/>
    <w:rsid w:val="00FB5B54"/>
    <w:rsid w:val="00FB7CC1"/>
    <w:rsid w:val="00FC0D2D"/>
    <w:rsid w:val="00FC1080"/>
    <w:rsid w:val="00FD4537"/>
    <w:rsid w:val="00FD63D3"/>
    <w:rsid w:val="00FD6628"/>
    <w:rsid w:val="00FD7003"/>
    <w:rsid w:val="00FD7C4C"/>
    <w:rsid w:val="00FE0AA0"/>
    <w:rsid w:val="00FF1913"/>
    <w:rsid w:val="00FF26B7"/>
    <w:rsid w:val="00FF555A"/>
    <w:rsid w:val="00FF6CC5"/>
    <w:rsid w:val="00FF75EF"/>
    <w:rsid w:val="02274762"/>
    <w:rsid w:val="022D6F4E"/>
    <w:rsid w:val="05A44EEE"/>
    <w:rsid w:val="05EA31B1"/>
    <w:rsid w:val="06D03F17"/>
    <w:rsid w:val="08271739"/>
    <w:rsid w:val="086D21BF"/>
    <w:rsid w:val="0B514954"/>
    <w:rsid w:val="0B514C92"/>
    <w:rsid w:val="0B945712"/>
    <w:rsid w:val="0B9B6971"/>
    <w:rsid w:val="0C490E50"/>
    <w:rsid w:val="0CC96DB4"/>
    <w:rsid w:val="12F17712"/>
    <w:rsid w:val="13472861"/>
    <w:rsid w:val="13BE79D6"/>
    <w:rsid w:val="14D253C7"/>
    <w:rsid w:val="157A7A62"/>
    <w:rsid w:val="157B226C"/>
    <w:rsid w:val="15DE197E"/>
    <w:rsid w:val="1763479D"/>
    <w:rsid w:val="17745D0B"/>
    <w:rsid w:val="17792682"/>
    <w:rsid w:val="19816F4E"/>
    <w:rsid w:val="19B374C5"/>
    <w:rsid w:val="1B46414C"/>
    <w:rsid w:val="1BD7646F"/>
    <w:rsid w:val="1C162B4F"/>
    <w:rsid w:val="1C314D5D"/>
    <w:rsid w:val="1C5A5715"/>
    <w:rsid w:val="1CC80C39"/>
    <w:rsid w:val="1CE67EE5"/>
    <w:rsid w:val="1F3012FC"/>
    <w:rsid w:val="1FB544AF"/>
    <w:rsid w:val="2040456C"/>
    <w:rsid w:val="20D163A2"/>
    <w:rsid w:val="218B6D66"/>
    <w:rsid w:val="21A21E43"/>
    <w:rsid w:val="21DE1EF1"/>
    <w:rsid w:val="22234BDC"/>
    <w:rsid w:val="27221C0C"/>
    <w:rsid w:val="29A17F03"/>
    <w:rsid w:val="29E91BA5"/>
    <w:rsid w:val="2A441A0F"/>
    <w:rsid w:val="2BB92942"/>
    <w:rsid w:val="3111298A"/>
    <w:rsid w:val="31972566"/>
    <w:rsid w:val="33D501B4"/>
    <w:rsid w:val="341449FD"/>
    <w:rsid w:val="34891FCE"/>
    <w:rsid w:val="35FE41B4"/>
    <w:rsid w:val="37035CCC"/>
    <w:rsid w:val="38D21ABD"/>
    <w:rsid w:val="398E4B19"/>
    <w:rsid w:val="39DF1B77"/>
    <w:rsid w:val="3A675B84"/>
    <w:rsid w:val="3B88028A"/>
    <w:rsid w:val="3CF77E0C"/>
    <w:rsid w:val="4159064D"/>
    <w:rsid w:val="41844C31"/>
    <w:rsid w:val="418F0351"/>
    <w:rsid w:val="44B225B1"/>
    <w:rsid w:val="46137F88"/>
    <w:rsid w:val="46482C35"/>
    <w:rsid w:val="47AD568D"/>
    <w:rsid w:val="480148C6"/>
    <w:rsid w:val="481944F4"/>
    <w:rsid w:val="48520E05"/>
    <w:rsid w:val="48553BB5"/>
    <w:rsid w:val="48601AC6"/>
    <w:rsid w:val="488561F1"/>
    <w:rsid w:val="4AD62862"/>
    <w:rsid w:val="4C26756B"/>
    <w:rsid w:val="4CC6371D"/>
    <w:rsid w:val="4D871706"/>
    <w:rsid w:val="501E13C1"/>
    <w:rsid w:val="51A561F0"/>
    <w:rsid w:val="55883C02"/>
    <w:rsid w:val="56AF34F1"/>
    <w:rsid w:val="596B0902"/>
    <w:rsid w:val="5CDD098E"/>
    <w:rsid w:val="5CF57DA2"/>
    <w:rsid w:val="5D584F8B"/>
    <w:rsid w:val="6058575B"/>
    <w:rsid w:val="61186F09"/>
    <w:rsid w:val="621507EE"/>
    <w:rsid w:val="6401230C"/>
    <w:rsid w:val="69276BC6"/>
    <w:rsid w:val="69D040C2"/>
    <w:rsid w:val="6A735CBD"/>
    <w:rsid w:val="6C5007AF"/>
    <w:rsid w:val="6C647DD8"/>
    <w:rsid w:val="6D257079"/>
    <w:rsid w:val="6DAF35E3"/>
    <w:rsid w:val="6E3E11A2"/>
    <w:rsid w:val="6E53781F"/>
    <w:rsid w:val="6F7C19B8"/>
    <w:rsid w:val="701B5956"/>
    <w:rsid w:val="70B144E0"/>
    <w:rsid w:val="74802C34"/>
    <w:rsid w:val="74D335DE"/>
    <w:rsid w:val="76917EFA"/>
    <w:rsid w:val="7A153230"/>
    <w:rsid w:val="7AB4263A"/>
    <w:rsid w:val="7B6C1F16"/>
    <w:rsid w:val="7CD76794"/>
    <w:rsid w:val="7E201DE2"/>
    <w:rsid w:val="7E8F114D"/>
    <w:rsid w:val="7FF90C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0"/>
    <w:qFormat/>
    <w:uiPriority w:val="9"/>
    <w:pPr>
      <w:keepNext/>
      <w:keepLines/>
      <w:numPr>
        <w:ilvl w:val="0"/>
        <w:numId w:val="1"/>
      </w:numPr>
      <w:spacing w:before="340" w:after="330" w:line="578" w:lineRule="auto"/>
      <w:outlineLvl w:val="0"/>
    </w:pPr>
    <w:rPr>
      <w:b/>
      <w:bCs/>
      <w:kern w:val="44"/>
      <w:sz w:val="32"/>
      <w:szCs w:val="44"/>
    </w:rPr>
  </w:style>
  <w:style w:type="paragraph" w:styleId="4">
    <w:name w:val="heading 2"/>
    <w:basedOn w:val="1"/>
    <w:next w:val="1"/>
    <w:link w:val="32"/>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34"/>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35"/>
    <w:unhideWhenUsed/>
    <w:qFormat/>
    <w:uiPriority w:val="9"/>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36"/>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37"/>
    <w:semiHidden/>
    <w:unhideWhenUsed/>
    <w:qFormat/>
    <w:uiPriority w:val="9"/>
    <w:pPr>
      <w:keepNext/>
      <w:keepLines/>
      <w:numPr>
        <w:ilvl w:val="6"/>
        <w:numId w:val="1"/>
      </w:numPr>
      <w:spacing w:before="240" w:after="64" w:line="320" w:lineRule="auto"/>
      <w:outlineLvl w:val="6"/>
    </w:pPr>
    <w:rPr>
      <w:b/>
      <w:bCs/>
      <w:sz w:val="24"/>
      <w:szCs w:val="24"/>
    </w:rPr>
  </w:style>
  <w:style w:type="paragraph" w:styleId="10">
    <w:name w:val="heading 8"/>
    <w:basedOn w:val="1"/>
    <w:next w:val="1"/>
    <w:link w:val="38"/>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39"/>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12">
    <w:name w:val="Document Map"/>
    <w:basedOn w:val="1"/>
    <w:link w:val="31"/>
    <w:semiHidden/>
    <w:unhideWhenUsed/>
    <w:qFormat/>
    <w:uiPriority w:val="99"/>
    <w:rPr>
      <w:rFonts w:ascii="宋体" w:eastAsia="宋体"/>
      <w:sz w:val="18"/>
      <w:szCs w:val="18"/>
    </w:rPr>
  </w:style>
  <w:style w:type="paragraph" w:styleId="13">
    <w:name w:val="annotation text"/>
    <w:basedOn w:val="1"/>
    <w:link w:val="42"/>
    <w:semiHidden/>
    <w:unhideWhenUsed/>
    <w:qFormat/>
    <w:uiPriority w:val="99"/>
    <w:pPr>
      <w:jc w:val="left"/>
    </w:pPr>
  </w:style>
  <w:style w:type="paragraph" w:styleId="14">
    <w:name w:val="toc 3"/>
    <w:basedOn w:val="1"/>
    <w:next w:val="1"/>
    <w:unhideWhenUsed/>
    <w:qFormat/>
    <w:uiPriority w:val="39"/>
    <w:pPr>
      <w:ind w:left="840" w:leftChars="400"/>
    </w:pPr>
  </w:style>
  <w:style w:type="paragraph" w:styleId="15">
    <w:name w:val="Balloon Text"/>
    <w:basedOn w:val="1"/>
    <w:link w:val="44"/>
    <w:semiHidden/>
    <w:unhideWhenUsed/>
    <w:qFormat/>
    <w:uiPriority w:val="99"/>
    <w:rPr>
      <w:sz w:val="18"/>
      <w:szCs w:val="18"/>
    </w:rPr>
  </w:style>
  <w:style w:type="paragraph" w:styleId="16">
    <w:name w:val="footer"/>
    <w:basedOn w:val="1"/>
    <w:link w:val="29"/>
    <w:unhideWhenUsed/>
    <w:qFormat/>
    <w:uiPriority w:val="99"/>
    <w:pPr>
      <w:tabs>
        <w:tab w:val="center" w:pos="4153"/>
        <w:tab w:val="right" w:pos="8306"/>
      </w:tabs>
      <w:snapToGrid w:val="0"/>
      <w:jc w:val="left"/>
    </w:pPr>
    <w:rPr>
      <w:sz w:val="18"/>
      <w:szCs w:val="18"/>
    </w:rPr>
  </w:style>
  <w:style w:type="paragraph" w:styleId="17">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toc 2"/>
    <w:basedOn w:val="1"/>
    <w:next w:val="1"/>
    <w:unhideWhenUsed/>
    <w:qFormat/>
    <w:uiPriority w:val="39"/>
    <w:pPr>
      <w:ind w:left="420" w:leftChars="200"/>
    </w:pPr>
  </w:style>
  <w:style w:type="paragraph" w:styleId="20">
    <w:name w:val="Title"/>
    <w:basedOn w:val="1"/>
    <w:next w:val="1"/>
    <w:link w:val="40"/>
    <w:qFormat/>
    <w:uiPriority w:val="10"/>
    <w:pPr>
      <w:spacing w:before="240" w:after="60"/>
      <w:jc w:val="center"/>
      <w:outlineLvl w:val="0"/>
    </w:pPr>
    <w:rPr>
      <w:rFonts w:eastAsia="宋体" w:asciiTheme="majorHAnsi" w:hAnsiTheme="majorHAnsi" w:cstheme="majorBidi"/>
      <w:b/>
      <w:bCs/>
      <w:sz w:val="32"/>
      <w:szCs w:val="32"/>
    </w:rPr>
  </w:style>
  <w:style w:type="paragraph" w:styleId="21">
    <w:name w:val="annotation subject"/>
    <w:basedOn w:val="13"/>
    <w:next w:val="13"/>
    <w:link w:val="43"/>
    <w:semiHidden/>
    <w:unhideWhenUsed/>
    <w:qFormat/>
    <w:uiPriority w:val="99"/>
    <w:rPr>
      <w:b/>
      <w:bCs/>
    </w:rPr>
  </w:style>
  <w:style w:type="table" w:styleId="23">
    <w:name w:val="Table Grid"/>
    <w:basedOn w:val="2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FollowedHyperlink"/>
    <w:basedOn w:val="24"/>
    <w:semiHidden/>
    <w:unhideWhenUsed/>
    <w:qFormat/>
    <w:uiPriority w:val="99"/>
    <w:rPr>
      <w:color w:val="800080"/>
      <w:u w:val="single"/>
    </w:rPr>
  </w:style>
  <w:style w:type="character" w:styleId="26">
    <w:name w:val="Hyperlink"/>
    <w:basedOn w:val="24"/>
    <w:unhideWhenUsed/>
    <w:qFormat/>
    <w:uiPriority w:val="99"/>
    <w:rPr>
      <w:color w:val="0000FF"/>
      <w:u w:val="single"/>
    </w:rPr>
  </w:style>
  <w:style w:type="character" w:styleId="27">
    <w:name w:val="annotation reference"/>
    <w:basedOn w:val="24"/>
    <w:semiHidden/>
    <w:unhideWhenUsed/>
    <w:qFormat/>
    <w:uiPriority w:val="99"/>
    <w:rPr>
      <w:sz w:val="21"/>
      <w:szCs w:val="21"/>
    </w:rPr>
  </w:style>
  <w:style w:type="character" w:customStyle="1" w:styleId="28">
    <w:name w:val="页眉 Char"/>
    <w:basedOn w:val="24"/>
    <w:link w:val="17"/>
    <w:qFormat/>
    <w:uiPriority w:val="99"/>
    <w:rPr>
      <w:sz w:val="18"/>
      <w:szCs w:val="18"/>
    </w:rPr>
  </w:style>
  <w:style w:type="character" w:customStyle="1" w:styleId="29">
    <w:name w:val="页脚 Char"/>
    <w:basedOn w:val="24"/>
    <w:link w:val="16"/>
    <w:qFormat/>
    <w:uiPriority w:val="99"/>
    <w:rPr>
      <w:sz w:val="18"/>
      <w:szCs w:val="18"/>
    </w:rPr>
  </w:style>
  <w:style w:type="character" w:customStyle="1" w:styleId="30">
    <w:name w:val="标题 1 Char"/>
    <w:basedOn w:val="24"/>
    <w:link w:val="3"/>
    <w:qFormat/>
    <w:uiPriority w:val="9"/>
    <w:rPr>
      <w:b/>
      <w:bCs/>
      <w:kern w:val="44"/>
      <w:sz w:val="32"/>
      <w:szCs w:val="44"/>
    </w:rPr>
  </w:style>
  <w:style w:type="character" w:customStyle="1" w:styleId="31">
    <w:name w:val="文档结构图 Char"/>
    <w:basedOn w:val="24"/>
    <w:link w:val="12"/>
    <w:semiHidden/>
    <w:qFormat/>
    <w:uiPriority w:val="99"/>
    <w:rPr>
      <w:rFonts w:ascii="宋体" w:eastAsia="宋体"/>
      <w:sz w:val="18"/>
      <w:szCs w:val="18"/>
    </w:rPr>
  </w:style>
  <w:style w:type="character" w:customStyle="1" w:styleId="32">
    <w:name w:val="标题 2 Char"/>
    <w:basedOn w:val="24"/>
    <w:link w:val="4"/>
    <w:qFormat/>
    <w:uiPriority w:val="9"/>
    <w:rPr>
      <w:rFonts w:asciiTheme="majorHAnsi" w:hAnsiTheme="majorHAnsi" w:eastAsiaTheme="majorEastAsia" w:cstheme="majorBidi"/>
      <w:b/>
      <w:bCs/>
      <w:kern w:val="2"/>
      <w:sz w:val="32"/>
      <w:szCs w:val="32"/>
    </w:rPr>
  </w:style>
  <w:style w:type="character" w:customStyle="1" w:styleId="33">
    <w:name w:val="标题 3 Char"/>
    <w:basedOn w:val="24"/>
    <w:link w:val="5"/>
    <w:qFormat/>
    <w:uiPriority w:val="0"/>
    <w:rPr>
      <w:b/>
      <w:bCs/>
      <w:sz w:val="32"/>
      <w:szCs w:val="32"/>
    </w:rPr>
  </w:style>
  <w:style w:type="character" w:customStyle="1" w:styleId="34">
    <w:name w:val="标题 4 Char"/>
    <w:basedOn w:val="24"/>
    <w:link w:val="6"/>
    <w:qFormat/>
    <w:uiPriority w:val="9"/>
    <w:rPr>
      <w:rFonts w:asciiTheme="majorHAnsi" w:hAnsiTheme="majorHAnsi" w:eastAsiaTheme="majorEastAsia" w:cstheme="majorBidi"/>
      <w:b/>
      <w:bCs/>
      <w:sz w:val="28"/>
      <w:szCs w:val="28"/>
    </w:rPr>
  </w:style>
  <w:style w:type="character" w:customStyle="1" w:styleId="35">
    <w:name w:val="标题 5 Char"/>
    <w:basedOn w:val="24"/>
    <w:link w:val="7"/>
    <w:qFormat/>
    <w:uiPriority w:val="9"/>
    <w:rPr>
      <w:b/>
      <w:bCs/>
      <w:sz w:val="28"/>
      <w:szCs w:val="28"/>
    </w:rPr>
  </w:style>
  <w:style w:type="character" w:customStyle="1" w:styleId="36">
    <w:name w:val="标题 6 Char"/>
    <w:basedOn w:val="24"/>
    <w:link w:val="8"/>
    <w:semiHidden/>
    <w:qFormat/>
    <w:uiPriority w:val="9"/>
    <w:rPr>
      <w:rFonts w:asciiTheme="majorHAnsi" w:hAnsiTheme="majorHAnsi" w:eastAsiaTheme="majorEastAsia" w:cstheme="majorBidi"/>
      <w:b/>
      <w:bCs/>
      <w:sz w:val="24"/>
      <w:szCs w:val="24"/>
    </w:rPr>
  </w:style>
  <w:style w:type="character" w:customStyle="1" w:styleId="37">
    <w:name w:val="标题 7 Char"/>
    <w:basedOn w:val="24"/>
    <w:link w:val="9"/>
    <w:semiHidden/>
    <w:qFormat/>
    <w:uiPriority w:val="9"/>
    <w:rPr>
      <w:b/>
      <w:bCs/>
      <w:sz w:val="24"/>
      <w:szCs w:val="24"/>
    </w:rPr>
  </w:style>
  <w:style w:type="character" w:customStyle="1" w:styleId="38">
    <w:name w:val="标题 8 Char"/>
    <w:basedOn w:val="24"/>
    <w:link w:val="10"/>
    <w:semiHidden/>
    <w:qFormat/>
    <w:uiPriority w:val="9"/>
    <w:rPr>
      <w:rFonts w:asciiTheme="majorHAnsi" w:hAnsiTheme="majorHAnsi" w:eastAsiaTheme="majorEastAsia" w:cstheme="majorBidi"/>
      <w:sz w:val="24"/>
      <w:szCs w:val="24"/>
    </w:rPr>
  </w:style>
  <w:style w:type="character" w:customStyle="1" w:styleId="39">
    <w:name w:val="标题 9 Char"/>
    <w:basedOn w:val="24"/>
    <w:link w:val="11"/>
    <w:semiHidden/>
    <w:qFormat/>
    <w:uiPriority w:val="9"/>
    <w:rPr>
      <w:rFonts w:asciiTheme="majorHAnsi" w:hAnsiTheme="majorHAnsi" w:eastAsiaTheme="majorEastAsia" w:cstheme="majorBidi"/>
      <w:szCs w:val="21"/>
    </w:rPr>
  </w:style>
  <w:style w:type="character" w:customStyle="1" w:styleId="40">
    <w:name w:val="标题 Char"/>
    <w:basedOn w:val="24"/>
    <w:link w:val="20"/>
    <w:qFormat/>
    <w:uiPriority w:val="10"/>
    <w:rPr>
      <w:rFonts w:eastAsia="宋体" w:asciiTheme="majorHAnsi" w:hAnsiTheme="majorHAnsi" w:cstheme="majorBidi"/>
      <w:b/>
      <w:bCs/>
      <w:sz w:val="32"/>
      <w:szCs w:val="32"/>
    </w:rPr>
  </w:style>
  <w:style w:type="paragraph" w:customStyle="1" w:styleId="41">
    <w:name w:val="报告正文"/>
    <w:basedOn w:val="1"/>
    <w:qFormat/>
    <w:uiPriority w:val="0"/>
    <w:pPr>
      <w:ind w:firstLine="200" w:firstLineChars="200"/>
    </w:pPr>
    <w:rPr>
      <w:sz w:val="28"/>
    </w:rPr>
  </w:style>
  <w:style w:type="character" w:customStyle="1" w:styleId="42">
    <w:name w:val="批注文字 Char"/>
    <w:basedOn w:val="24"/>
    <w:link w:val="13"/>
    <w:semiHidden/>
    <w:qFormat/>
    <w:uiPriority w:val="99"/>
  </w:style>
  <w:style w:type="character" w:customStyle="1" w:styleId="43">
    <w:name w:val="批注主题 Char"/>
    <w:basedOn w:val="42"/>
    <w:link w:val="21"/>
    <w:semiHidden/>
    <w:qFormat/>
    <w:uiPriority w:val="99"/>
    <w:rPr>
      <w:b/>
      <w:bCs/>
    </w:rPr>
  </w:style>
  <w:style w:type="character" w:customStyle="1" w:styleId="44">
    <w:name w:val="批注框文本 Char"/>
    <w:basedOn w:val="24"/>
    <w:link w:val="15"/>
    <w:semiHidden/>
    <w:qFormat/>
    <w:uiPriority w:val="99"/>
    <w:rPr>
      <w:sz w:val="18"/>
      <w:szCs w:val="18"/>
    </w:rPr>
  </w:style>
  <w:style w:type="paragraph" w:customStyle="1" w:styleId="45">
    <w:name w:val="表格文字"/>
    <w:basedOn w:val="1"/>
    <w:qFormat/>
    <w:uiPriority w:val="0"/>
    <w:pPr>
      <w:widowControl/>
      <w:adjustRightInd w:val="0"/>
      <w:snapToGrid w:val="0"/>
      <w:jc w:val="center"/>
    </w:pPr>
    <w:rPr>
      <w:rFonts w:ascii="Times New Roman" w:hAnsi="Times New Roman" w:eastAsia="宋体" w:cs="Times New Roman"/>
      <w:szCs w:val="20"/>
    </w:rPr>
  </w:style>
  <w:style w:type="paragraph" w:customStyle="1" w:styleId="46">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7">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8">
    <w:name w:val="font7"/>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49">
    <w:name w:val="font8"/>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0">
    <w:name w:val="font9"/>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1">
    <w:name w:val="font10"/>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2">
    <w:name w:val="font11"/>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3">
    <w:name w:val="xl65"/>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5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5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57">
    <w:name w:val="xl69"/>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59">
    <w:name w:val="xl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0">
    <w:name w:val="xl7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1">
    <w:name w:val="xl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2">
    <w:name w:val="xl7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6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4">
    <w:name w:val="TOC 标题1"/>
    <w:basedOn w:val="3"/>
    <w:next w:val="1"/>
    <w:semiHidden/>
    <w:unhideWhenUsed/>
    <w:qFormat/>
    <w:uiPriority w:val="39"/>
    <w:pPr>
      <w:widowControl/>
      <w:numPr>
        <w:numId w:val="0"/>
      </w:numPr>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65">
    <w:name w:val="TOC 标题2"/>
    <w:basedOn w:val="3"/>
    <w:next w:val="1"/>
    <w:semiHidden/>
    <w:unhideWhenUsed/>
    <w:qFormat/>
    <w:uiPriority w:val="39"/>
    <w:pPr>
      <w:numPr>
        <w:numId w:val="0"/>
      </w:numPr>
      <w:outlineLvl w:val="9"/>
    </w:pPr>
    <w:rPr>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0" Type="http://schemas.openxmlformats.org/officeDocument/2006/relationships/fontTable" Target="fontTable.xml"/><Relationship Id="rId3" Type="http://schemas.openxmlformats.org/officeDocument/2006/relationships/footer" Target="foot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wmf"/><Relationship Id="rId23" Type="http://schemas.openxmlformats.org/officeDocument/2006/relationships/oleObject" Target="embeddings/oleObject7.bin"/><Relationship Id="rId22" Type="http://schemas.openxmlformats.org/officeDocument/2006/relationships/oleObject" Target="embeddings/oleObject6.bin"/><Relationship Id="rId21" Type="http://schemas.openxmlformats.org/officeDocument/2006/relationships/oleObject" Target="embeddings/oleObject5.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10.wmf"/><Relationship Id="rId17" Type="http://schemas.openxmlformats.org/officeDocument/2006/relationships/oleObject" Target="embeddings/oleObject3.bin"/><Relationship Id="rId16" Type="http://schemas.openxmlformats.org/officeDocument/2006/relationships/image" Target="media/image9.wmf"/><Relationship Id="rId15" Type="http://schemas.openxmlformats.org/officeDocument/2006/relationships/oleObject" Target="embeddings/oleObject2.bin"/><Relationship Id="rId14" Type="http://schemas.openxmlformats.org/officeDocument/2006/relationships/image" Target="media/image8.wmf"/><Relationship Id="rId13" Type="http://schemas.openxmlformats.org/officeDocument/2006/relationships/oleObject" Target="embeddings/oleObject1.bin"/><Relationship Id="rId12" Type="http://schemas.openxmlformats.org/officeDocument/2006/relationships/image" Target="media/image7.pn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49CC84-6769-4982-A750-59B12113D27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42</Pages>
  <Words>12881</Words>
  <Characters>17523</Characters>
  <Lines>152</Lines>
  <Paragraphs>43</Paragraphs>
  <TotalTime>0</TotalTime>
  <ScaleCrop>false</ScaleCrop>
  <LinksUpToDate>false</LinksUpToDate>
  <CharactersWithSpaces>17982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2019-01-02T03:04:00Z</dcterms:created>
  <dc:creator>Administrator</dc:creator>
  <cp:lastModifiedBy>Administrator</cp:lastModifiedBy>
  <cp:lastPrinted>2019-12-31T00:37:00Z</cp:lastPrinted>
  <dcterms:modified xsi:type="dcterms:W3CDTF">2022-07-11T08:00:02Z</dcterms:modified>
  <cp:revision>920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490D823F60F646A4892BF28C48911D63</vt:lpwstr>
  </property>
</Properties>
</file>